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tabs>
          <w:tab w:val="left" w:pos="1259"/>
        </w:tabs>
        <w:kinsoku/>
        <w:wordWrap/>
        <w:overflowPunct/>
        <w:topLinePunct w:val="0"/>
        <w:autoSpaceDE/>
        <w:autoSpaceDN/>
        <w:bidi w:val="0"/>
        <w:spacing w:before="0" w:after="0" w:line="560" w:lineRule="exact"/>
        <w:jc w:val="center"/>
        <w:textAlignment w:val="auto"/>
        <w:rPr>
          <w:rFonts w:hint="eastAsia" w:ascii="方正小标宋简体" w:hAnsi="宋体" w:eastAsia="方正小标宋简体" w:cs="黑体"/>
          <w:color w:val="000000"/>
          <w:sz w:val="18"/>
          <w:szCs w:val="18"/>
        </w:rPr>
      </w:pPr>
      <w:r>
        <w:rPr>
          <w:rFonts w:hint="eastAsia" w:ascii="方正小标宋简体" w:hAnsi="宋体" w:eastAsia="方正小标宋简体" w:cs="黑体"/>
          <w:color w:val="231F20"/>
          <w:sz w:val="44"/>
          <w:szCs w:val="44"/>
        </w:rPr>
        <w:t>福建省药品监督管理局</w:t>
      </w:r>
      <w:r>
        <w:rPr>
          <w:rFonts w:hint="eastAsia" w:ascii="方正小标宋简体" w:hAnsi="宋体" w:eastAsia="方正小标宋简体" w:cs="黑体"/>
          <w:color w:val="000000"/>
          <w:sz w:val="44"/>
          <w:szCs w:val="44"/>
        </w:rPr>
        <w:t>行政处罚决定书</w:t>
      </w:r>
    </w:p>
    <w:p>
      <w:pPr>
        <w:pStyle w:val="3"/>
        <w:keepLines w:val="0"/>
        <w:pageBreakBefore w:val="0"/>
        <w:tabs>
          <w:tab w:val="left" w:pos="8964"/>
        </w:tabs>
        <w:kinsoku/>
        <w:wordWrap/>
        <w:overflowPunct/>
        <w:topLinePunct w:val="0"/>
        <w:autoSpaceDE/>
        <w:autoSpaceDN/>
        <w:bidi w:val="0"/>
        <w:spacing w:line="560" w:lineRule="exact"/>
        <w:ind w:left="0" w:firstLine="640" w:firstLineChars="200"/>
        <w:jc w:val="center"/>
        <w:textAlignment w:val="auto"/>
        <w:rPr>
          <w:rFonts w:hint="eastAsia" w:ascii="楷体" w:hAnsi="楷体" w:eastAsia="楷体" w:cs="楷体"/>
          <w:color w:val="000000" w:themeColor="text1"/>
          <w:lang w:eastAsia="zh-CN" w:bidi="ar"/>
          <w14:textFill>
            <w14:solidFill>
              <w14:schemeClr w14:val="tx1"/>
            </w14:solidFill>
          </w14:textFill>
        </w:rPr>
      </w:pPr>
      <w:r>
        <w:rPr>
          <w:rFonts w:hint="eastAsia" w:ascii="楷体" w:hAnsi="楷体" w:eastAsia="楷体" w:cs="楷体"/>
          <w:color w:val="000000" w:themeColor="text1"/>
          <w:lang w:eastAsia="zh-CN" w:bidi="ar"/>
          <w14:textFill>
            <w14:solidFill>
              <w14:schemeClr w14:val="tx1"/>
            </w14:solidFill>
          </w14:textFill>
        </w:rPr>
        <w:t>闽药</w:t>
      </w:r>
      <w:bookmarkStart w:id="1" w:name="_GoBack"/>
      <w:bookmarkEnd w:id="1"/>
      <w:r>
        <w:rPr>
          <w:rFonts w:hint="eastAsia" w:ascii="楷体" w:hAnsi="楷体" w:eastAsia="楷体" w:cs="楷体"/>
          <w:color w:val="000000" w:themeColor="text1"/>
          <w:lang w:eastAsia="zh-CN" w:bidi="ar"/>
          <w14:textFill>
            <w14:solidFill>
              <w14:schemeClr w14:val="tx1"/>
            </w14:solidFill>
          </w14:textFill>
        </w:rPr>
        <w:t>监厦稽办处罚〔202</w:t>
      </w:r>
      <w:r>
        <w:rPr>
          <w:rFonts w:hint="eastAsia" w:ascii="楷体" w:hAnsi="楷体" w:eastAsia="楷体" w:cs="楷体"/>
          <w:color w:val="000000" w:themeColor="text1"/>
          <w:lang w:val="en-US" w:eastAsia="zh-CN" w:bidi="ar"/>
          <w14:textFill>
            <w14:solidFill>
              <w14:schemeClr w14:val="tx1"/>
            </w14:solidFill>
          </w14:textFill>
        </w:rPr>
        <w:t>5</w:t>
      </w:r>
      <w:r>
        <w:rPr>
          <w:rFonts w:hint="eastAsia" w:ascii="楷体" w:hAnsi="楷体" w:eastAsia="楷体" w:cs="楷体"/>
          <w:color w:val="000000" w:themeColor="text1"/>
          <w:lang w:eastAsia="zh-CN" w:bidi="ar"/>
          <w14:textFill>
            <w14:solidFill>
              <w14:schemeClr w14:val="tx1"/>
            </w14:solidFill>
          </w14:textFill>
        </w:rPr>
        <w:t>〕</w:t>
      </w:r>
      <w:r>
        <w:rPr>
          <w:rFonts w:hint="eastAsia" w:ascii="楷体" w:hAnsi="楷体" w:eastAsia="楷体" w:cs="楷体"/>
          <w:color w:val="000000" w:themeColor="text1"/>
          <w:lang w:val="en-US" w:eastAsia="zh-CN" w:bidi="ar"/>
          <w14:textFill>
            <w14:solidFill>
              <w14:schemeClr w14:val="tx1"/>
            </w14:solidFill>
          </w14:textFill>
        </w:rPr>
        <w:t>014</w:t>
      </w:r>
      <w:r>
        <w:rPr>
          <w:rFonts w:hint="eastAsia" w:ascii="楷体" w:hAnsi="楷体" w:eastAsia="楷体" w:cs="楷体"/>
          <w:color w:val="000000" w:themeColor="text1"/>
          <w:lang w:eastAsia="zh-CN" w:bidi="ar"/>
          <w14:textFill>
            <w14:solidFill>
              <w14:schemeClr w14:val="tx1"/>
            </w14:solidFill>
          </w14:textFill>
        </w:rPr>
        <w:t>号</w:t>
      </w:r>
    </w:p>
    <w:p>
      <w:pPr>
        <w:keepLines w:val="0"/>
        <w:pageBreakBefore w:val="0"/>
        <w:tabs>
          <w:tab w:val="left" w:pos="2440"/>
          <w:tab w:val="left" w:pos="8964"/>
        </w:tabs>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w:t>
      </w:r>
      <w:r>
        <w:rPr>
          <w:rFonts w:hint="default" w:ascii="仿宋_GB2312" w:hAnsi="仿宋_GB2312" w:eastAsia="仿宋_GB2312" w:cs="仿宋_GB2312"/>
          <w:sz w:val="32"/>
          <w:szCs w:val="32"/>
          <w:lang w:val="en-US" w:eastAsia="zh-CN"/>
        </w:rPr>
        <w:t>大德康元(福建)药业有限公司</w:t>
      </w:r>
      <w:r>
        <w:rPr>
          <w:rFonts w:hint="eastAsia" w:ascii="仿宋_GB2312" w:hAnsi="仿宋_GB2312" w:eastAsia="仿宋_GB2312" w:cs="仿宋_GB2312"/>
          <w:sz w:val="32"/>
          <w:szCs w:val="32"/>
          <w:lang w:val="en-US" w:eastAsia="zh-CN"/>
        </w:rPr>
        <w:t xml:space="preserve">                          </w:t>
      </w:r>
    </w:p>
    <w:p>
      <w:pPr>
        <w:keepLines w:val="0"/>
        <w:pageBreakBefore w:val="0"/>
        <w:tabs>
          <w:tab w:val="left" w:pos="2440"/>
          <w:tab w:val="left" w:pos="8964"/>
        </w:tabs>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主体资格证照名称：《营业执照》                  </w:t>
      </w:r>
    </w:p>
    <w:p>
      <w:pPr>
        <w:keepLines w:val="0"/>
        <w:pageBreakBefore w:val="0"/>
        <w:tabs>
          <w:tab w:val="left" w:pos="2440"/>
          <w:tab w:val="left" w:pos="8964"/>
        </w:tabs>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r>
        <w:rPr>
          <w:rFonts w:hint="default" w:ascii="仿宋_GB2312" w:hAnsi="仿宋_GB2312" w:eastAsia="仿宋_GB2312" w:cs="仿宋_GB2312"/>
          <w:sz w:val="32"/>
          <w:szCs w:val="32"/>
          <w:lang w:val="en-US" w:eastAsia="zh-CN"/>
        </w:rPr>
        <w:t>913505816875027356</w:t>
      </w:r>
      <w:r>
        <w:rPr>
          <w:rFonts w:hint="eastAsia" w:ascii="仿宋_GB2312" w:hAnsi="仿宋_GB2312" w:eastAsia="仿宋_GB2312" w:cs="仿宋_GB2312"/>
          <w:sz w:val="32"/>
          <w:szCs w:val="32"/>
          <w:lang w:val="en-US" w:eastAsia="zh-CN"/>
        </w:rPr>
        <w:t xml:space="preserve">      </w:t>
      </w:r>
    </w:p>
    <w:p>
      <w:pPr>
        <w:keepLines w:val="0"/>
        <w:pageBreakBefore w:val="0"/>
        <w:tabs>
          <w:tab w:val="left" w:pos="2440"/>
          <w:tab w:val="left" w:pos="8964"/>
        </w:tabs>
        <w:kinsoku/>
        <w:wordWrap/>
        <w:overflowPunct/>
        <w:topLinePunct w:val="0"/>
        <w:autoSpaceDE/>
        <w:autoSpaceDN/>
        <w:bidi w:val="0"/>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住所:</w:t>
      </w:r>
      <w:r>
        <w:rPr>
          <w:rFonts w:hint="default" w:ascii="仿宋_GB2312" w:hAnsi="仿宋_GB2312" w:eastAsia="仿宋_GB2312" w:cs="仿宋_GB2312"/>
          <w:sz w:val="32"/>
          <w:szCs w:val="32"/>
          <w:lang w:val="en-US" w:eastAsia="zh-CN"/>
        </w:rPr>
        <w:t>福建省泉州市石狮市灵秀镇港塘青石49号</w:t>
      </w:r>
    </w:p>
    <w:p>
      <w:pPr>
        <w:keepLines w:val="0"/>
        <w:pageBreakBefore w:val="0"/>
        <w:tabs>
          <w:tab w:val="left" w:pos="2440"/>
          <w:tab w:val="left" w:pos="8964"/>
        </w:tabs>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法定代表人：王世炎</w:t>
      </w:r>
    </w:p>
    <w:p>
      <w:pPr>
        <w:keepLines w:val="0"/>
        <w:pageBreakBefore w:val="0"/>
        <w:tabs>
          <w:tab w:val="left" w:pos="2440"/>
          <w:tab w:val="left" w:pos="8964"/>
        </w:tabs>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身份证号码：****   </w:t>
      </w:r>
    </w:p>
    <w:p>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根据湖南省药品检验检测研究院《检验报告》（编号：YP202510017），</w:t>
      </w:r>
      <w:r>
        <w:rPr>
          <w:rFonts w:hint="default" w:ascii="仿宋_GB2312" w:hAnsi="仿宋_GB2312" w:eastAsia="仿宋_GB2312" w:cs="仿宋_GB2312"/>
          <w:sz w:val="32"/>
          <w:szCs w:val="32"/>
          <w:lang w:val="en-US" w:eastAsia="zh-CN"/>
        </w:rPr>
        <w:t>大德康元(福建)药业有限公司</w:t>
      </w:r>
      <w:r>
        <w:rPr>
          <w:rFonts w:hint="eastAsia" w:ascii="仿宋_GB2312" w:hAnsi="仿宋_GB2312" w:eastAsia="仿宋_GB2312" w:cs="仿宋_GB2312"/>
          <w:sz w:val="32"/>
          <w:szCs w:val="32"/>
          <w:lang w:val="en-US" w:eastAsia="zh-CN"/>
        </w:rPr>
        <w:t>（以下简称</w:t>
      </w:r>
      <w:r>
        <w:rPr>
          <w:rFonts w:hint="default" w:ascii="仿宋_GB2312" w:hAnsi="仿宋_GB2312" w:eastAsia="仿宋_GB2312" w:cs="仿宋_GB2312"/>
          <w:sz w:val="32"/>
          <w:szCs w:val="32"/>
          <w:lang w:val="en-US" w:eastAsia="zh-CN"/>
        </w:rPr>
        <w:t>大德康元</w:t>
      </w:r>
      <w:r>
        <w:rPr>
          <w:rFonts w:hint="eastAsia" w:ascii="仿宋_GB2312" w:hAnsi="仿宋_GB2312" w:eastAsia="仿宋_GB2312" w:cs="仿宋_GB2312"/>
          <w:sz w:val="32"/>
          <w:szCs w:val="32"/>
          <w:lang w:val="en-US" w:eastAsia="zh-CN"/>
        </w:rPr>
        <w:t>）生产的红参片（批号：240701）经国家药品抽检，结果为性状项目不符合《中国药典》2020年版第一增补本相关规定。2025年4月18日，本办向大德康元直接送达上述检验报告并开展现场核查。2025年5月15日，中国食品药品检定研究院受理了大德康元的复验申请。2025年6月13日，本办收到中国食品药品检定研究院《检验报告》（编号：ZF202510706），性状项目经复验仍不符合规定。2025年6月27日，本办对</w:t>
      </w:r>
      <w:r>
        <w:rPr>
          <w:rFonts w:hint="default" w:ascii="仿宋_GB2312" w:hAnsi="仿宋_GB2312" w:eastAsia="仿宋_GB2312" w:cs="仿宋_GB2312"/>
          <w:sz w:val="32"/>
          <w:szCs w:val="32"/>
          <w:lang w:val="en-US" w:eastAsia="zh-CN"/>
        </w:rPr>
        <w:t>大德康元</w:t>
      </w:r>
      <w:r>
        <w:rPr>
          <w:rFonts w:hint="eastAsia" w:ascii="仿宋_GB2312" w:hAnsi="仿宋_GB2312" w:eastAsia="仿宋_GB2312" w:cs="仿宋_GB2312"/>
          <w:sz w:val="32"/>
          <w:szCs w:val="32"/>
          <w:lang w:val="en-US" w:eastAsia="zh-CN"/>
        </w:rPr>
        <w:t>涉嫌生产劣药的行为进行立案调查。案件办理期间本办进行了现场核查、对相关人员询问调查、组织召开专家论证会等工作。</w:t>
      </w:r>
    </w:p>
    <w:p>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查，大德康元于2024年1月向****公司采购100kg原药材红参，进厂检验合格后放行入库。2024年7月1日至4日，大德康元用上述原药材红参生产了红参片（批号：240701，生产日期：2024.07.01，包装规格：500克/袋）188袋，用于检验、留样2袋，入库186袋。2024年9月14日至2025年3月25日，大德康元销售上述红参片182袋，销售金额为人民币148200元；另4袋用于自行检验及委托送检</w:t>
      </w:r>
      <w:r>
        <w:rPr>
          <w:rFonts w:hint="default" w:ascii="仿宋_GB2312" w:hAnsi="仿宋_GB2312" w:eastAsia="仿宋_GB2312" w:cs="仿宋_GB2312"/>
          <w:sz w:val="32"/>
          <w:szCs w:val="32"/>
          <w:lang w:val="en-US" w:eastAsia="zh-CN"/>
        </w:rPr>
        <w:t>。</w:t>
      </w:r>
    </w:p>
    <w:p>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4月11日，大德康元销售至****公司该批次红参片在国家药品抽检活动中经检验，结果为性状检验项目不符合《中国药典》2020年版第一增补本相关规定，具体内容为部分样品内部含白色或黄色硬心（占比63%）。2025年4月18日，大德康元对涉案批次红参片进行主动召回。2025年5月9日，大德康元完成召回工作，共召回32.456kg涉案批次产品；其同时向涉及的13家下游客户开具红字发票，退回相关货款52532.85元。大德康元在本案中的违法所得为95667.15元。经大德康元申请复验，中国食品药品检定研究院于2025年6月13日作出检验报告，结论仍为涉案批次药品性状项目不符合规定。</w:t>
      </w:r>
    </w:p>
    <w:p>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Change w:id="0" w:author="陈加义" w:date="2025-09-29T11:34:47Z">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pPr>
        </w:pPrChange>
      </w:pPr>
      <w:r>
        <w:rPr>
          <w:rFonts w:hint="eastAsia" w:ascii="仿宋_GB2312" w:hAnsi="仿宋_GB2312" w:eastAsia="仿宋_GB2312" w:cs="仿宋_GB2312"/>
          <w:sz w:val="32"/>
          <w:szCs w:val="32"/>
          <w:lang w:val="en-US" w:eastAsia="zh-CN"/>
        </w:rPr>
        <w:t>2025年7月21日，大德康元向本办递交了进行安全性、有效性认定的申请书和相关佐证材料。2025年7月29日，经省局审批同意，本办就此组织召开专家论证会，与会专家经充分讨论，形成一致意见：虽然该批次红参片性状不符合规定，但综合其他项目的检验结果，可认定尚不影响其安全性、有效性。</w:t>
      </w:r>
    </w:p>
    <w:p>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16日，本办向大德康元送达了《行政处罚告知书》（闽药监厦稽办罚告〔2025〕016号），告知大德康元拟作出行政处罚内容以及事实、理由、依据，并告知其依法享有陈述、申辩和要求听证的权利。在法定期限内，大德康元未向本办提出陈述、申辩和听证要求。</w:t>
      </w:r>
    </w:p>
    <w:p>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认为，大德康元生产的红参片（批号：240701）性状项目经检验不符合规定，属于《中华人民共和国药品管理法》第九十八条第三款第七项、第一百一十七条第二款规定的情形，违反了《中华人民共和国药品管理法》第九十八条第一款的规定，构成了生产劣药的违法行为。</w:t>
      </w:r>
    </w:p>
    <w:p>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调查取证阶段，大德康元积极配合调查，如实陈述违法事实，主动提供相应证据材料；其五年内未存在因违反药品管理法律法规被行政处罚的情况，系初次违法；涉案批次药品不符合规定的具体内容为部分样品内部含白色或黄色硬心，为非安全性项目，经专家论证会认定不影响安全性、有效性，社会危害性小；大德康元在收到不合格报告后当天就启动召回，并及时完成召回工作；上述违法行为发生所在的2024年度，其药品安全信用风险分类的评定结果为A类。上述情节分别符合《福建省药品监管行政处罚裁量适用细则》第十一条第一款第二项、第七项、第八项、第十项、第十一项之规定</w:t>
      </w:r>
      <w:bookmarkStart w:id="0" w:name="_Hlk174971029"/>
      <w:r>
        <w:rPr>
          <w:rFonts w:hint="eastAsia" w:ascii="仿宋_GB2312" w:hAnsi="仿宋_GB2312" w:eastAsia="仿宋_GB2312" w:cs="仿宋_GB2312"/>
          <w:sz w:val="32"/>
          <w:szCs w:val="32"/>
          <w:lang w:val="en-US" w:eastAsia="zh-CN"/>
        </w:rPr>
        <w:t>。综合全案的事实、性质和裁量情节，本办决定按从轻行政处罚等级进行量罚。</w:t>
      </w:r>
      <w:bookmarkEnd w:id="0"/>
    </w:p>
    <w:p>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依据《中华人民共和国行政处罚法》第二十八条第二款、《中华人民共和国药品管理法》第一百一十七条第二款的规定，现责令大德康元限期10日改正上述违法行为，并给予如下行政处罚： </w:t>
      </w:r>
    </w:p>
    <w:p>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（一）警告；</w:t>
      </w:r>
    </w:p>
    <w:p>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（二）没收违法所得95667.15元（玖万伍仟陆佰陆拾柒元壹角伍分）;</w:t>
      </w:r>
    </w:p>
    <w:p>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（三）罚款10万元（拾万元）。</w:t>
      </w:r>
    </w:p>
    <w:p>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以上罚没款合计195667.15元（拾玖万伍仟陆佰陆拾柒元壹角伍分）。</w:t>
      </w:r>
    </w:p>
    <w:p>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当事人应自接到本行政处罚决定之日起15日内缴纳上述罚没款。根据本办开具的行政处罚缴款通知书，当事人自行选择缴款方式。逾期不缴纳罚款的，依据《中华人民共和国行政处罚法》第七十二条的规定，本办将每日按罚款数额的百分之三加处罚款，并依法申请人民法院强制执行。 </w:t>
      </w:r>
    </w:p>
    <w:p>
      <w:pPr>
        <w:keepLines w:val="0"/>
        <w:pageBreakBefore w:val="0"/>
        <w:tabs>
          <w:tab w:val="left" w:pos="2440"/>
          <w:tab w:val="left" w:pos="8964"/>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如不服本行政处罚决定，可以在收到本行政处罚决定书之日起六十日内向福建省人民政府申请行政复议；也可以在六个月内依法向厦门市思明区人民法院提起行政诉讼。申请行政复议或者提起行政诉讼期间，行政处罚不停止执行。</w:t>
      </w:r>
    </w:p>
    <w:p>
      <w:pPr>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p>
    <w:p>
      <w:pPr>
        <w:keepLines w:val="0"/>
        <w:pageBreakBefore w:val="0"/>
        <w:kinsoku/>
        <w:wordWrap/>
        <w:overflowPunct/>
        <w:topLinePunct w:val="0"/>
        <w:autoSpaceDE/>
        <w:autoSpaceDN/>
        <w:bidi w:val="0"/>
        <w:adjustRightInd w:val="0"/>
        <w:snapToGrid w:val="0"/>
        <w:spacing w:line="560" w:lineRule="exact"/>
        <w:ind w:firstLine="1600" w:firstLineChars="500"/>
        <w:jc w:val="both"/>
        <w:textAlignment w:val="auto"/>
        <w:rPr>
          <w:rFonts w:hint="eastAsia" w:ascii="仿宋" w:hAnsi="仿宋" w:eastAsia="仿宋_GB2312" w:cs="仿宋"/>
          <w:sz w:val="32"/>
          <w:szCs w:val="32"/>
          <w:lang w:eastAsia="zh-CN"/>
        </w:rPr>
      </w:pPr>
      <w:r>
        <w:rPr>
          <w:rFonts w:hint="eastAsia" w:ascii="Times New Roman" w:hAnsi="Times New Roman" w:eastAsia="仿宋_GB2312" w:cs="仿宋"/>
          <w:color w:val="000000"/>
          <w:sz w:val="32"/>
          <w:szCs w:val="32"/>
        </w:rPr>
        <w:t>福建省药品监督管理局</w:t>
      </w:r>
      <w:r>
        <w:rPr>
          <w:rFonts w:hint="eastAsia" w:ascii="Times New Roman" w:hAnsi="Times New Roman" w:eastAsia="仿宋_GB2312" w:cs="仿宋"/>
          <w:color w:val="000000"/>
          <w:sz w:val="32"/>
          <w:szCs w:val="32"/>
          <w:lang w:eastAsia="zh-CN"/>
        </w:rPr>
        <w:t>厦门药品稽查办公室</w:t>
      </w:r>
    </w:p>
    <w:p>
      <w:pPr>
        <w:keepLines w:val="0"/>
        <w:pageBreakBefore w:val="0"/>
        <w:kinsoku/>
        <w:wordWrap/>
        <w:overflowPunct/>
        <w:topLinePunct w:val="0"/>
        <w:autoSpaceDE/>
        <w:autoSpaceDN/>
        <w:bidi w:val="0"/>
        <w:adjustRightInd w:val="0"/>
        <w:snapToGrid w:val="0"/>
        <w:spacing w:line="560" w:lineRule="exact"/>
        <w:ind w:firstLine="4160" w:firstLineChars="1300"/>
        <w:jc w:val="both"/>
        <w:textAlignment w:val="auto"/>
        <w:rPr>
          <w:rFonts w:hint="eastAsia" w:ascii="仿宋" w:hAnsi="仿宋" w:eastAsia="仿宋" w:cs="仿宋"/>
          <w:sz w:val="32"/>
          <w:szCs w:val="32"/>
        </w:rPr>
      </w:pPr>
      <w:r>
        <w:rPr>
          <w:rFonts w:hint="eastAsia" w:ascii="仿宋" w:hAnsi="仿宋" w:eastAsia="仿宋" w:cs="仿宋"/>
          <w:sz w:val="32"/>
          <w:szCs w:val="32"/>
        </w:rPr>
        <w:t>2025年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 xml:space="preserve">日 </w:t>
      </w:r>
    </w:p>
    <w:p>
      <w:pPr>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p>
    <w:p>
      <w:pPr>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p>
    <w:p>
      <w:pPr>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p>
    <w:p>
      <w:pPr>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kern w:val="0"/>
          <w:sz w:val="30"/>
          <w:szCs w:val="30"/>
        </w:rPr>
      </w:pPr>
      <w:r>
        <w:rPr>
          <w:rFonts w:hint="eastAsia" w:ascii="黑体" w:hAnsi="黑体" w:eastAsia="黑体" w:cs="黑体"/>
          <w:kern w:val="0"/>
          <w:sz w:val="30"/>
          <w:szCs w:val="30"/>
        </w:rPr>
        <w:t>(药品监督管理部门将依法向社会公示本行政处罚决定信息)</w:t>
      </w:r>
    </w:p>
    <w:p>
      <w:pPr>
        <w:keepLines w:val="0"/>
        <w:pageBreakBefore w:val="0"/>
        <w:kinsoku/>
        <w:wordWrap/>
        <w:overflowPunct/>
        <w:topLinePunct w:val="0"/>
        <w:autoSpaceDE/>
        <w:autoSpaceDN/>
        <w:bidi w:val="0"/>
        <w:spacing w:line="560" w:lineRule="exact"/>
        <w:jc w:val="both"/>
        <w:textAlignment w:val="auto"/>
        <w:rPr>
          <w:rFonts w:hint="eastAsia" w:ascii="华文仿宋" w:hAnsi="华文仿宋" w:eastAsia="华文仿宋"/>
          <w:kern w:val="0"/>
          <w:sz w:val="32"/>
          <w:szCs w:val="32"/>
        </w:rPr>
      </w:pPr>
      <w:r>
        <w:rPr>
          <w:kern w:val="0"/>
          <w:sz w:val="32"/>
          <w:szCs w:val="22"/>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29210</wp:posOffset>
                </wp:positionV>
                <wp:extent cx="5681345" cy="8890"/>
                <wp:effectExtent l="0" t="0" r="0" b="0"/>
                <wp:wrapNone/>
                <wp:docPr id="2" name="直接连接符 2"/>
                <wp:cNvGraphicFramePr/>
                <a:graphic xmlns:a="http://schemas.openxmlformats.org/drawingml/2006/main">
                  <a:graphicData uri="http://schemas.microsoft.com/office/word/2010/wordprocessingShape">
                    <wps:wsp>
                      <wps:cNvCnPr/>
                      <wps:spPr>
                        <a:xfrm flipV="1">
                          <a:off x="1097280" y="7673340"/>
                          <a:ext cx="5681345" cy="889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25pt;margin-top:2.3pt;height:0.7pt;width:447.35pt;z-index:251660288;mso-width-relative:page;mso-height-relative:page;" filled="f" stroked="t" coordsize="21600,21600" o:gfxdata="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P11OG&#10;1QAAAAYBAAAPAAAAAAAAAAEAIAAAADgAAABkcnMvZG93bnJldi54bWxQSwECFAAUAAAACACHTuJA&#10;UmXoQg4CAADtAwAADgAAAAAAAAABACAAAAA6AQAAZHJzL2Uyb0RvYy54bWxQSwUGAAAAAAYABgBZ&#10;AQAAugUAAAAA&#10;">
                <v:fill on="f" focussize="0,0"/>
                <v:stroke weight="1.5pt" color="#000000" miterlimit="8" joinstyle="miter"/>
                <v:imagedata o:title=""/>
                <o:lock v:ext="edit" aspectratio="f"/>
              </v:line>
            </w:pict>
          </mc:Fallback>
        </mc:AlternateContent>
      </w:r>
      <w:r>
        <w:rPr>
          <w:rFonts w:ascii="Times New Roman" w:hAnsi="Times New Roman" w:eastAsia="仿宋_GB2312" w:cs="仿宋"/>
          <w:bCs/>
          <w:color w:val="000000"/>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vv85HXAAAACgEAAA8AAAAAAAAAAQAgAAAA&#10;OAAAAGRycy9kb3ducmV2LnhtbFBLAQIUABQAAAAIAIdO4kDIIdYO9gEAAOkDAAAOAAAAAAAAAAEA&#10;IAAAADwBAABkcnMvZTJvRG9jLnhtbFBLBQYAAAAABgAGAFkBAACk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kern w:val="0"/>
          <w:sz w:val="32"/>
          <w:szCs w:val="32"/>
        </w:rPr>
        <w:t>本文书一式</w:t>
      </w:r>
      <w:r>
        <w:rPr>
          <w:rFonts w:hint="eastAsia" w:ascii="Times New Roman" w:hAnsi="Times New Roman" w:eastAsia="仿宋_GB2312" w:cs="仿宋"/>
          <w:color w:val="000000"/>
          <w:kern w:val="0"/>
          <w:sz w:val="32"/>
          <w:szCs w:val="32"/>
          <w:u w:val="single"/>
        </w:rPr>
        <w:t xml:space="preserve"> 二 </w:t>
      </w:r>
      <w:r>
        <w:rPr>
          <w:rFonts w:hint="eastAsia" w:ascii="Times New Roman" w:hAnsi="Times New Roman" w:eastAsia="仿宋_GB2312" w:cs="仿宋"/>
          <w:color w:val="000000"/>
          <w:kern w:val="0"/>
          <w:sz w:val="32"/>
          <w:szCs w:val="32"/>
        </w:rPr>
        <w:t>份，</w:t>
      </w:r>
      <w:r>
        <w:rPr>
          <w:rFonts w:hint="eastAsia" w:ascii="Times New Roman" w:hAnsi="Times New Roman" w:eastAsia="仿宋_GB2312" w:cs="仿宋"/>
          <w:color w:val="000000"/>
          <w:kern w:val="0"/>
          <w:sz w:val="32"/>
          <w:szCs w:val="32"/>
          <w:u w:val="single"/>
        </w:rPr>
        <w:t>一</w:t>
      </w:r>
      <w:r>
        <w:rPr>
          <w:rFonts w:hint="eastAsia" w:ascii="Times New Roman" w:hAnsi="Times New Roman" w:eastAsia="仿宋_GB2312" w:cs="仿宋"/>
          <w:color w:val="000000"/>
          <w:kern w:val="0"/>
          <w:sz w:val="32"/>
          <w:szCs w:val="32"/>
        </w:rPr>
        <w:t>份送达，</w:t>
      </w:r>
      <w:r>
        <w:rPr>
          <w:rFonts w:hint="eastAsia" w:ascii="Times New Roman" w:hAnsi="Times New Roman" w:eastAsia="仿宋_GB2312" w:cs="仿宋"/>
          <w:color w:val="000000"/>
          <w:kern w:val="0"/>
          <w:sz w:val="32"/>
          <w:szCs w:val="32"/>
          <w:u w:val="single"/>
        </w:rPr>
        <w:t>一</w:t>
      </w:r>
      <w:r>
        <w:rPr>
          <w:rFonts w:hint="eastAsia" w:ascii="Times New Roman" w:hAnsi="Times New Roman" w:eastAsia="仿宋_GB2312" w:cs="仿宋"/>
          <w:color w:val="000000"/>
          <w:kern w:val="0"/>
          <w:sz w:val="32"/>
          <w:szCs w:val="32"/>
        </w:rPr>
        <w:t>份归档。</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Noto Sans Syriac Eastern"/>
    <w:panose1 w:val="02040503050203030202"/>
    <w:charset w:val="00"/>
    <w:family w:val="roman"/>
    <w:pitch w:val="default"/>
    <w:sig w:usb0="00000000" w:usb1="00000000" w:usb2="00000000" w:usb3="00000000" w:csb0="00000001"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10" w:usb3="00000000" w:csb0="0004009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楷体" w:hAnsi="楷体" w:eastAsia="楷体" w:cs="楷体"/>
                              <w:sz w:val="24"/>
                              <w:szCs w:val="24"/>
                            </w:rPr>
                          </w:pPr>
                          <w:r>
                            <w:rPr>
                              <w:rFonts w:hint="eastAsia" w:ascii="楷体" w:hAnsi="楷体" w:eastAsia="楷体" w:cs="楷体"/>
                              <w:sz w:val="24"/>
                              <w:szCs w:val="24"/>
                            </w:rPr>
                            <w:t xml:space="preserve">第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  \* MERGEFORMAT </w:instrText>
                          </w:r>
                          <w:r>
                            <w:rPr>
                              <w:rFonts w:hint="eastAsia" w:ascii="楷体" w:hAnsi="楷体" w:eastAsia="楷体" w:cs="楷体"/>
                              <w:sz w:val="24"/>
                              <w:szCs w:val="24"/>
                            </w:rPr>
                            <w:fldChar w:fldCharType="separate"/>
                          </w:r>
                          <w:r>
                            <w:rPr>
                              <w:rFonts w:ascii="楷体" w:hAnsi="楷体" w:eastAsia="楷体" w:cs="楷体"/>
                              <w:sz w:val="24"/>
                              <w:szCs w:val="24"/>
                            </w:rPr>
                            <w:t>4</w:t>
                          </w:r>
                          <w:r>
                            <w:rPr>
                              <w:rFonts w:hint="eastAsia" w:ascii="楷体" w:hAnsi="楷体" w:eastAsia="楷体" w:cs="楷体"/>
                              <w:sz w:val="24"/>
                              <w:szCs w:val="24"/>
                            </w:rPr>
                            <w:fldChar w:fldCharType="end"/>
                          </w:r>
                          <w:r>
                            <w:rPr>
                              <w:rFonts w:hint="eastAsia" w:ascii="楷体" w:hAnsi="楷体" w:eastAsia="楷体" w:cs="楷体"/>
                              <w:sz w:val="24"/>
                              <w:szCs w:val="24"/>
                            </w:rPr>
                            <w:t xml:space="preserve"> 页 共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NUMPAGES  \* MERGEFORMAT </w:instrText>
                          </w:r>
                          <w:r>
                            <w:rPr>
                              <w:rFonts w:hint="eastAsia" w:ascii="楷体" w:hAnsi="楷体" w:eastAsia="楷体" w:cs="楷体"/>
                              <w:sz w:val="24"/>
                              <w:szCs w:val="24"/>
                            </w:rPr>
                            <w:fldChar w:fldCharType="separate"/>
                          </w:r>
                          <w:r>
                            <w:rPr>
                              <w:rFonts w:ascii="楷体" w:hAnsi="楷体" w:eastAsia="楷体" w:cs="楷体"/>
                              <w:sz w:val="24"/>
                              <w:szCs w:val="24"/>
                            </w:rPr>
                            <w:t>5</w:t>
                          </w:r>
                          <w:r>
                            <w:rPr>
                              <w:rFonts w:hint="eastAsia" w:ascii="楷体" w:hAnsi="楷体" w:eastAsia="楷体" w:cs="楷体"/>
                              <w:sz w:val="24"/>
                              <w:szCs w:val="24"/>
                            </w:rPr>
                            <w:fldChar w:fldCharType="end"/>
                          </w:r>
                          <w:r>
                            <w:rPr>
                              <w:rFonts w:hint="eastAsia" w:ascii="楷体" w:hAnsi="楷体" w:eastAsia="楷体" w:cs="楷体"/>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rPr>
                        <w:rFonts w:hint="eastAsia" w:ascii="楷体" w:hAnsi="楷体" w:eastAsia="楷体" w:cs="楷体"/>
                        <w:sz w:val="24"/>
                        <w:szCs w:val="24"/>
                      </w:rPr>
                    </w:pPr>
                    <w:r>
                      <w:rPr>
                        <w:rFonts w:hint="eastAsia" w:ascii="楷体" w:hAnsi="楷体" w:eastAsia="楷体" w:cs="楷体"/>
                        <w:sz w:val="24"/>
                        <w:szCs w:val="24"/>
                      </w:rPr>
                      <w:t xml:space="preserve">第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  \* MERGEFORMAT </w:instrText>
                    </w:r>
                    <w:r>
                      <w:rPr>
                        <w:rFonts w:hint="eastAsia" w:ascii="楷体" w:hAnsi="楷体" w:eastAsia="楷体" w:cs="楷体"/>
                        <w:sz w:val="24"/>
                        <w:szCs w:val="24"/>
                      </w:rPr>
                      <w:fldChar w:fldCharType="separate"/>
                    </w:r>
                    <w:r>
                      <w:rPr>
                        <w:rFonts w:ascii="楷体" w:hAnsi="楷体" w:eastAsia="楷体" w:cs="楷体"/>
                        <w:sz w:val="24"/>
                        <w:szCs w:val="24"/>
                      </w:rPr>
                      <w:t>4</w:t>
                    </w:r>
                    <w:r>
                      <w:rPr>
                        <w:rFonts w:hint="eastAsia" w:ascii="楷体" w:hAnsi="楷体" w:eastAsia="楷体" w:cs="楷体"/>
                        <w:sz w:val="24"/>
                        <w:szCs w:val="24"/>
                      </w:rPr>
                      <w:fldChar w:fldCharType="end"/>
                    </w:r>
                    <w:r>
                      <w:rPr>
                        <w:rFonts w:hint="eastAsia" w:ascii="楷体" w:hAnsi="楷体" w:eastAsia="楷体" w:cs="楷体"/>
                        <w:sz w:val="24"/>
                        <w:szCs w:val="24"/>
                      </w:rPr>
                      <w:t xml:space="preserve"> 页 共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NUMPAGES  \* MERGEFORMAT </w:instrText>
                    </w:r>
                    <w:r>
                      <w:rPr>
                        <w:rFonts w:hint="eastAsia" w:ascii="楷体" w:hAnsi="楷体" w:eastAsia="楷体" w:cs="楷体"/>
                        <w:sz w:val="24"/>
                        <w:szCs w:val="24"/>
                      </w:rPr>
                      <w:fldChar w:fldCharType="separate"/>
                    </w:r>
                    <w:r>
                      <w:rPr>
                        <w:rFonts w:ascii="楷体" w:hAnsi="楷体" w:eastAsia="楷体" w:cs="楷体"/>
                        <w:sz w:val="24"/>
                        <w:szCs w:val="24"/>
                      </w:rPr>
                      <w:t>5</w:t>
                    </w:r>
                    <w:r>
                      <w:rPr>
                        <w:rFonts w:hint="eastAsia" w:ascii="楷体" w:hAnsi="楷体" w:eastAsia="楷体" w:cs="楷体"/>
                        <w:sz w:val="24"/>
                        <w:szCs w:val="24"/>
                      </w:rPr>
                      <w:fldChar w:fldCharType="end"/>
                    </w:r>
                    <w:r>
                      <w:rPr>
                        <w:rFonts w:hint="eastAsia" w:ascii="楷体" w:hAnsi="楷体" w:eastAsia="楷体" w:cs="楷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E5AF2"/>
    <w:multiLevelType w:val="multilevel"/>
    <w:tmpl w:val="052E5AF2"/>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加义">
    <w15:presenceInfo w15:providerId="None" w15:userId="陈加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2NDc0ZTdlY2Q3ZmIyNjY4ZDNmMDJiZjUzZWI3ZDEifQ=="/>
  </w:docVars>
  <w:rsids>
    <w:rsidRoot w:val="0002063B"/>
    <w:rsid w:val="0002063B"/>
    <w:rsid w:val="00062CAA"/>
    <w:rsid w:val="00097132"/>
    <w:rsid w:val="000B736D"/>
    <w:rsid w:val="000F19EE"/>
    <w:rsid w:val="001B7A90"/>
    <w:rsid w:val="001C7F82"/>
    <w:rsid w:val="00264DC4"/>
    <w:rsid w:val="002B1B79"/>
    <w:rsid w:val="003A2149"/>
    <w:rsid w:val="004018FE"/>
    <w:rsid w:val="00414227"/>
    <w:rsid w:val="00451A1C"/>
    <w:rsid w:val="004B253C"/>
    <w:rsid w:val="0051340F"/>
    <w:rsid w:val="00514BBF"/>
    <w:rsid w:val="005471BC"/>
    <w:rsid w:val="005A545E"/>
    <w:rsid w:val="005D23BD"/>
    <w:rsid w:val="005F33B0"/>
    <w:rsid w:val="00614906"/>
    <w:rsid w:val="006313F9"/>
    <w:rsid w:val="00652143"/>
    <w:rsid w:val="00660397"/>
    <w:rsid w:val="0071511F"/>
    <w:rsid w:val="00754926"/>
    <w:rsid w:val="00790DEA"/>
    <w:rsid w:val="007D22F2"/>
    <w:rsid w:val="007F0305"/>
    <w:rsid w:val="0089245D"/>
    <w:rsid w:val="008A7AC3"/>
    <w:rsid w:val="008B2664"/>
    <w:rsid w:val="008E6D45"/>
    <w:rsid w:val="0092727E"/>
    <w:rsid w:val="00971BBF"/>
    <w:rsid w:val="009A551C"/>
    <w:rsid w:val="009B1D01"/>
    <w:rsid w:val="009D08A0"/>
    <w:rsid w:val="009E1136"/>
    <w:rsid w:val="00A04786"/>
    <w:rsid w:val="00A309FE"/>
    <w:rsid w:val="00AD06FB"/>
    <w:rsid w:val="00C01643"/>
    <w:rsid w:val="00C2787F"/>
    <w:rsid w:val="00C33120"/>
    <w:rsid w:val="00C87535"/>
    <w:rsid w:val="00CF67D9"/>
    <w:rsid w:val="00EB6CC0"/>
    <w:rsid w:val="00FA71EB"/>
    <w:rsid w:val="0DCD42BD"/>
    <w:rsid w:val="2F7F31B8"/>
    <w:rsid w:val="2FF57C43"/>
    <w:rsid w:val="30BC4C26"/>
    <w:rsid w:val="38C210B2"/>
    <w:rsid w:val="39393B75"/>
    <w:rsid w:val="3D5357FC"/>
    <w:rsid w:val="3EED471C"/>
    <w:rsid w:val="3F37A1F0"/>
    <w:rsid w:val="4BAF5BE4"/>
    <w:rsid w:val="4EDE48D4"/>
    <w:rsid w:val="5261FF9D"/>
    <w:rsid w:val="54BFCFD9"/>
    <w:rsid w:val="5C8E98A3"/>
    <w:rsid w:val="5CAF070E"/>
    <w:rsid w:val="5DCB1D21"/>
    <w:rsid w:val="5FE25415"/>
    <w:rsid w:val="5FF3D84E"/>
    <w:rsid w:val="64454CD9"/>
    <w:rsid w:val="6BFFAF98"/>
    <w:rsid w:val="6DF4F3FD"/>
    <w:rsid w:val="6DF60092"/>
    <w:rsid w:val="6E837EF4"/>
    <w:rsid w:val="75E32BA3"/>
    <w:rsid w:val="779C1F3A"/>
    <w:rsid w:val="7E3BB5BB"/>
    <w:rsid w:val="7EBC43CF"/>
    <w:rsid w:val="7EDFFDDD"/>
    <w:rsid w:val="86DF94F6"/>
    <w:rsid w:val="A9FFDE51"/>
    <w:rsid w:val="AEFA78BE"/>
    <w:rsid w:val="B7EDFFE5"/>
    <w:rsid w:val="BB3EFEE0"/>
    <w:rsid w:val="C37A408D"/>
    <w:rsid w:val="EB1DB949"/>
    <w:rsid w:val="EFF8D819"/>
    <w:rsid w:val="FEFF1501"/>
    <w:rsid w:val="FF778323"/>
    <w:rsid w:val="FF7D8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pPr>
      <w:ind w:left="220"/>
      <w:jc w:val="left"/>
    </w:pPr>
    <w:rPr>
      <w:rFonts w:ascii="宋体" w:hAnsi="宋体"/>
      <w:kern w:val="0"/>
      <w:sz w:val="32"/>
      <w:szCs w:val="32"/>
      <w:lang w:eastAsia="en-US"/>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1 字符"/>
    <w:basedOn w:val="8"/>
    <w:link w:val="2"/>
    <w:qFormat/>
    <w:uiPriority w:val="0"/>
    <w:rPr>
      <w:rFonts w:ascii="Times New Roman" w:hAnsi="Times New Roman" w:eastAsia="宋体" w:cs="Mangal"/>
      <w:color w:val="00000A"/>
      <w:sz w:val="24"/>
      <w:szCs w:val="24"/>
      <w:lang w:val="zh-CN" w:bidi="hi-IN"/>
    </w:rPr>
  </w:style>
  <w:style w:type="character" w:customStyle="1" w:styleId="12">
    <w:name w:val="正文文本 字符"/>
    <w:basedOn w:val="8"/>
    <w:link w:val="3"/>
    <w:qFormat/>
    <w:uiPriority w:val="0"/>
    <w:rPr>
      <w:rFonts w:ascii="宋体" w:hAnsi="宋体" w:eastAsia="宋体" w:cs="Times New Roman"/>
      <w:kern w:val="0"/>
      <w:sz w:val="32"/>
      <w:szCs w:val="32"/>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438</Words>
  <Characters>2501</Characters>
  <Lines>20</Lines>
  <Paragraphs>5</Paragraphs>
  <TotalTime>23</TotalTime>
  <ScaleCrop>false</ScaleCrop>
  <LinksUpToDate>false</LinksUpToDate>
  <CharactersWithSpaces>2934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2022-12-31T16:41:00Z</dcterms:created>
  <dc:creator>wang lichao</dc:creator>
  <cp:lastModifiedBy>陈加义</cp:lastModifiedBy>
  <cp:lastPrinted>2023-01-03T01:09:00Z</cp:lastPrinted>
  <dcterms:modified xsi:type="dcterms:W3CDTF">2025-09-29T11:35:21Z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C54E8406F4DA7CF763EDD4680EEE666A</vt:lpwstr>
  </property>
</Properties>
</file>