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eastAsia" w:ascii="方正小标宋简体" w:hAnsi="方正小标宋简体" w:eastAsia="方正小标宋简体" w:cs="方正小标宋简体"/>
          <w:spacing w:val="0"/>
          <w:w w:val="100"/>
          <w:lang w:val="en-US" w:eastAsia="zh-CN"/>
        </w:rPr>
      </w:pPr>
      <w:r>
        <w:rPr>
          <w:rFonts w:hint="eastAsia" w:ascii="方正小标宋简体" w:hAnsi="方正小标宋简体" w:eastAsia="方正小标宋简体" w:cs="方正小标宋简体"/>
          <w:spacing w:val="0"/>
          <w:w w:val="100"/>
        </w:rPr>
        <w:t>福建省药品监督管理局</w:t>
      </w:r>
    </w:p>
    <w:p>
      <w:pPr>
        <w:pStyle w:val="4"/>
        <w:rPr>
          <w:rFonts w:hint="eastAsia" w:ascii="方正小标宋简体" w:hAnsi="方正小标宋简体" w:eastAsia="方正小标宋简体" w:cs="方正小标宋简体"/>
          <w:spacing w:val="0"/>
          <w:w w:val="100"/>
        </w:rPr>
      </w:pPr>
      <w:r>
        <w:rPr>
          <w:rFonts w:hint="eastAsia" w:ascii="方正小标宋简体" w:hAnsi="方正小标宋简体" w:eastAsia="方正小标宋简体" w:cs="方正小标宋简体"/>
          <w:spacing w:val="0"/>
          <w:w w:val="100"/>
        </w:rPr>
        <w:t>行政处罚决定书</w:t>
      </w:r>
    </w:p>
    <w:p>
      <w:pPr>
        <w:keepNext w:val="0"/>
        <w:keepLines w:val="0"/>
        <w:pageBreakBefore w:val="0"/>
        <w:widowControl/>
        <w:kinsoku/>
        <w:overflowPunct/>
        <w:topLinePunct w:val="0"/>
        <w:bidi w:val="0"/>
        <w:adjustRightInd/>
        <w:snapToGrid w:val="0"/>
        <w:spacing w:line="580" w:lineRule="exact"/>
        <w:ind w:right="55"/>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闽药监</w:t>
      </w:r>
      <w:r>
        <w:rPr>
          <w:rFonts w:hint="eastAsia" w:ascii="仿宋_GB2312" w:hAnsi="仿宋_GB2312" w:eastAsia="仿宋_GB2312" w:cs="仿宋_GB2312"/>
          <w:sz w:val="32"/>
          <w:szCs w:val="32"/>
          <w:highlight w:val="none"/>
          <w:lang w:eastAsia="zh-CN"/>
        </w:rPr>
        <w:t>厦</w:t>
      </w:r>
      <w:r>
        <w:rPr>
          <w:rFonts w:hint="eastAsia" w:ascii="仿宋_GB2312" w:hAnsi="仿宋_GB2312" w:eastAsia="仿宋_GB2312" w:cs="仿宋_GB2312"/>
          <w:sz w:val="32"/>
          <w:szCs w:val="32"/>
          <w:highlight w:val="none"/>
        </w:rPr>
        <w:t>稽办处罚〔202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015</w:t>
      </w:r>
      <w:r>
        <w:rPr>
          <w:rFonts w:hint="eastAsia" w:ascii="仿宋_GB2312" w:hAnsi="仿宋_GB2312" w:eastAsia="仿宋_GB2312" w:cs="仿宋_GB2312"/>
          <w:sz w:val="32"/>
          <w:szCs w:val="32"/>
          <w:highlight w:val="none"/>
        </w:rPr>
        <w:t>号</w:t>
      </w:r>
    </w:p>
    <w:p>
      <w:pPr>
        <w:keepNext w:val="0"/>
        <w:keepLines w:val="0"/>
        <w:pageBreakBefore w:val="0"/>
        <w:widowControl/>
        <w:tabs>
          <w:tab w:val="left" w:pos="2725"/>
        </w:tabs>
        <w:kinsoku w:val="0"/>
        <w:wordWrap/>
        <w:overflowPunct/>
        <w:topLinePunct w:val="0"/>
        <w:autoSpaceDE w:val="0"/>
        <w:autoSpaceDN w:val="0"/>
        <w:bidi w:val="0"/>
        <w:adjustRightInd w:val="0"/>
        <w:snapToGrid w:val="0"/>
        <w:spacing w:before="157" w:beforeLines="50" w:after="157" w:afterLines="50" w:line="560" w:lineRule="exact"/>
        <w:jc w:val="center"/>
        <w:textAlignment w:val="baseline"/>
        <w:rPr>
          <w:rFonts w:hint="eastAsia" w:ascii="仿宋" w:hAnsi="仿宋" w:eastAsia="仿宋" w:cs="仿宋"/>
          <w:spacing w:val="0"/>
          <w:w w:val="100"/>
          <w:sz w:val="32"/>
          <w:szCs w:val="32"/>
        </w:rPr>
      </w:pPr>
    </w:p>
    <w:p>
      <w:pPr>
        <w:keepNext w:val="0"/>
        <w:keepLines w:val="0"/>
        <w:pageBreakBefore w:val="0"/>
        <w:widowControl w:val="0"/>
        <w:shd w:val="clear" w:color="auto" w:fill="FFFFFF"/>
        <w:kinsoku/>
        <w:overflowPunct/>
        <w:topLinePunct w:val="0"/>
        <w:autoSpaceDE/>
        <w:autoSpaceDN/>
        <w:bidi w:val="0"/>
        <w:adjustRightInd/>
        <w:snapToGrid/>
        <w:spacing w:line="240" w:lineRule="auto"/>
        <w:ind w:firstLine="641"/>
        <w:jc w:val="both"/>
        <w:textAlignment w:val="auto"/>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t>当事人：英科新创（厦门）科技股份有限公司</w:t>
      </w:r>
    </w:p>
    <w:p>
      <w:pPr>
        <w:keepNext w:val="0"/>
        <w:keepLines w:val="0"/>
        <w:pageBreakBefore w:val="0"/>
        <w:widowControl w:val="0"/>
        <w:shd w:val="clear" w:color="auto" w:fill="FFFFFF"/>
        <w:kinsoku/>
        <w:overflowPunct/>
        <w:topLinePunct w:val="0"/>
        <w:autoSpaceDE/>
        <w:autoSpaceDN/>
        <w:bidi w:val="0"/>
        <w:adjustRightInd/>
        <w:snapToGrid/>
        <w:spacing w:line="240" w:lineRule="auto"/>
        <w:ind w:firstLine="641"/>
        <w:jc w:val="both"/>
        <w:textAlignment w:val="auto"/>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t>主体资格证照名称：营业执照</w:t>
      </w:r>
    </w:p>
    <w:p>
      <w:pPr>
        <w:keepNext w:val="0"/>
        <w:keepLines w:val="0"/>
        <w:pageBreakBefore w:val="0"/>
        <w:widowControl w:val="0"/>
        <w:shd w:val="clear" w:color="auto" w:fill="FFFFFF"/>
        <w:kinsoku/>
        <w:overflowPunct/>
        <w:topLinePunct w:val="0"/>
        <w:autoSpaceDE/>
        <w:autoSpaceDN/>
        <w:bidi w:val="0"/>
        <w:adjustRightInd/>
        <w:snapToGrid/>
        <w:spacing w:line="240" w:lineRule="auto"/>
        <w:ind w:firstLine="641"/>
        <w:jc w:val="both"/>
        <w:textAlignment w:val="auto"/>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t>统一社会信用代码：</w:t>
      </w:r>
      <w:r>
        <w:rPr>
          <w:rFonts w:hint="eastAsia" w:ascii="仿宋" w:hAnsi="仿宋" w:eastAsia="仿宋" w:cs="仿宋"/>
          <w:sz w:val="32"/>
          <w:szCs w:val="32"/>
          <w:lang w:eastAsia="zh-CN"/>
        </w:rPr>
        <w:t>91350200612005312M</w:t>
      </w:r>
    </w:p>
    <w:p>
      <w:pPr>
        <w:keepNext w:val="0"/>
        <w:keepLines w:val="0"/>
        <w:pageBreakBefore w:val="0"/>
        <w:widowControl w:val="0"/>
        <w:shd w:val="clear" w:color="auto" w:fill="FFFFFF"/>
        <w:kinsoku/>
        <w:overflowPunct/>
        <w:topLinePunct w:val="0"/>
        <w:autoSpaceDE/>
        <w:autoSpaceDN/>
        <w:bidi w:val="0"/>
        <w:adjustRightInd/>
        <w:snapToGrid/>
        <w:spacing w:line="240" w:lineRule="auto"/>
        <w:ind w:firstLine="641"/>
        <w:jc w:val="both"/>
        <w:textAlignment w:val="auto"/>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t>住所：</w:t>
      </w:r>
      <w:r>
        <w:rPr>
          <w:rFonts w:hint="eastAsia" w:ascii="仿宋_GB2312" w:hAnsi="仿宋_GB2312" w:eastAsia="仿宋_GB2312" w:cs="仿宋_GB2312"/>
          <w:bCs/>
          <w:color w:val="auto"/>
          <w:sz w:val="32"/>
          <w:szCs w:val="32"/>
          <w:lang w:val="en-US" w:eastAsia="zh-CN"/>
        </w:rPr>
        <w:t>厦门市海沧新阳工业区新光路332号</w:t>
      </w:r>
    </w:p>
    <w:p>
      <w:pPr>
        <w:keepNext w:val="0"/>
        <w:keepLines w:val="0"/>
        <w:pageBreakBefore w:val="0"/>
        <w:widowControl w:val="0"/>
        <w:shd w:val="clear" w:color="auto" w:fill="FFFFFF"/>
        <w:kinsoku/>
        <w:overflowPunct/>
        <w:topLinePunct w:val="0"/>
        <w:autoSpaceDE/>
        <w:autoSpaceDN/>
        <w:bidi w:val="0"/>
        <w:adjustRightInd/>
        <w:snapToGrid/>
        <w:spacing w:line="240" w:lineRule="auto"/>
        <w:ind w:firstLine="641"/>
        <w:jc w:val="both"/>
        <w:textAlignment w:val="auto"/>
        <w:rPr>
          <w:rFonts w:hint="default"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t>法定代表人：</w:t>
      </w:r>
      <w:bookmarkStart w:id="2" w:name="_GoBack"/>
      <w:bookmarkEnd w:id="2"/>
      <w:r>
        <w:rPr>
          <w:rFonts w:hint="eastAsia" w:ascii="仿宋" w:hAnsi="仿宋" w:eastAsia="仿宋" w:cs="仿宋"/>
          <w:color w:val="000000"/>
          <w:sz w:val="32"/>
          <w:szCs w:val="32"/>
          <w:lang w:val="en-US" w:eastAsia="zh-CN"/>
        </w:rPr>
        <w:t>焦**</w:t>
      </w:r>
    </w:p>
    <w:p>
      <w:pPr>
        <w:keepNext w:val="0"/>
        <w:keepLines w:val="0"/>
        <w:pageBreakBefore w:val="0"/>
        <w:widowControl w:val="0"/>
        <w:shd w:val="clear" w:color="auto" w:fill="FFFFFF"/>
        <w:kinsoku/>
        <w:overflowPunct/>
        <w:topLinePunct w:val="0"/>
        <w:autoSpaceDE/>
        <w:autoSpaceDN/>
        <w:bidi w:val="0"/>
        <w:adjustRightInd/>
        <w:snapToGrid/>
        <w:spacing w:line="240" w:lineRule="auto"/>
        <w:ind w:firstLine="641"/>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仿宋" w:hAnsi="仿宋" w:eastAsia="仿宋" w:cs="仿宋_GB2312"/>
          <w:bCs/>
          <w:color w:val="000000"/>
          <w:kern w:val="2"/>
          <w:sz w:val="32"/>
          <w:szCs w:val="32"/>
          <w:u w:val="none"/>
          <w:lang w:val="en-US" w:eastAsia="zh-CN" w:bidi="ar-SA"/>
        </w:rPr>
        <w:t>身份证号码：******************</w:t>
      </w:r>
    </w:p>
    <w:p>
      <w:pPr>
        <w:spacing w:line="56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年</w:t>
      </w: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27</w:t>
      </w:r>
      <w:r>
        <w:rPr>
          <w:rFonts w:hint="eastAsia" w:ascii="仿宋" w:hAnsi="仿宋" w:eastAsia="仿宋" w:cs="仿宋"/>
          <w:sz w:val="32"/>
          <w:szCs w:val="32"/>
          <w:lang w:eastAsia="zh-CN"/>
        </w:rPr>
        <w:t>日，本局在“国家医疗器械抽检信息系统”收到</w:t>
      </w:r>
      <w:r>
        <w:rPr>
          <w:rFonts w:hint="eastAsia" w:ascii="仿宋" w:hAnsi="仿宋" w:eastAsia="仿宋" w:cs="仿宋"/>
          <w:sz w:val="32"/>
          <w:szCs w:val="32"/>
          <w:lang w:val="en-US" w:eastAsia="zh-CN"/>
        </w:rPr>
        <w:t>广西壮族自治区医疗器械检测中心</w:t>
      </w:r>
      <w:r>
        <w:rPr>
          <w:rFonts w:hint="eastAsia" w:ascii="仿宋" w:hAnsi="仿宋" w:eastAsia="仿宋" w:cs="仿宋"/>
          <w:sz w:val="32"/>
          <w:szCs w:val="32"/>
          <w:lang w:eastAsia="zh-CN"/>
        </w:rPr>
        <w:t>《检验报告》（编号：</w:t>
      </w:r>
      <w:r>
        <w:rPr>
          <w:rFonts w:hint="eastAsia" w:ascii="仿宋" w:hAnsi="仿宋" w:eastAsia="仿宋" w:cs="仿宋"/>
          <w:sz w:val="32"/>
          <w:szCs w:val="32"/>
          <w:lang w:val="en-US" w:eastAsia="zh-CN"/>
        </w:rPr>
        <w:t>2025CJ030002</w:t>
      </w:r>
      <w:r>
        <w:rPr>
          <w:rFonts w:hint="eastAsia" w:ascii="仿宋" w:hAnsi="仿宋" w:eastAsia="仿宋" w:cs="仿宋"/>
          <w:sz w:val="32"/>
          <w:szCs w:val="32"/>
          <w:lang w:eastAsia="zh-CN"/>
        </w:rPr>
        <w:t>），该报告</w:t>
      </w:r>
      <w:r>
        <w:rPr>
          <w:rFonts w:hint="eastAsia" w:ascii="仿宋_GB2312" w:hAnsi="仿宋_GB2312" w:eastAsia="仿宋_GB2312" w:cs="仿宋_GB2312"/>
          <w:bCs/>
          <w:color w:val="auto"/>
          <w:sz w:val="32"/>
          <w:szCs w:val="32"/>
        </w:rPr>
        <w:t>显示</w:t>
      </w:r>
      <w:r>
        <w:rPr>
          <w:rFonts w:hint="eastAsia" w:ascii="仿宋" w:hAnsi="仿宋" w:eastAsia="仿宋" w:cs="仿宋"/>
          <w:sz w:val="32"/>
          <w:szCs w:val="32"/>
          <w:lang w:eastAsia="zh-CN"/>
        </w:rPr>
        <w:t>，当事人生产的批号为</w:t>
      </w:r>
      <w:r>
        <w:rPr>
          <w:rFonts w:hint="eastAsia" w:ascii="仿宋" w:hAnsi="仿宋" w:eastAsia="仿宋" w:cs="仿宋"/>
          <w:sz w:val="32"/>
          <w:szCs w:val="32"/>
          <w:lang w:val="en-US" w:eastAsia="zh-CN"/>
        </w:rPr>
        <w:t>202501B102</w:t>
      </w:r>
      <w:r>
        <w:rPr>
          <w:rFonts w:hint="eastAsia" w:ascii="仿宋" w:hAnsi="仿宋" w:eastAsia="仿宋" w:cs="仿宋"/>
          <w:sz w:val="32"/>
          <w:szCs w:val="32"/>
          <w:lang w:eastAsia="zh-CN"/>
        </w:rPr>
        <w:t>、规格型号为</w:t>
      </w:r>
      <w:r>
        <w:rPr>
          <w:rFonts w:hint="eastAsia" w:ascii="仿宋" w:hAnsi="仿宋" w:eastAsia="仿宋" w:cs="仿宋"/>
          <w:sz w:val="32"/>
          <w:szCs w:val="32"/>
          <w:lang w:val="en-US" w:eastAsia="zh-CN"/>
        </w:rPr>
        <w:t>试条（内包装1支/袋）：100人份/盒的</w:t>
      </w:r>
      <w:r>
        <w:rPr>
          <w:rFonts w:hint="eastAsia" w:ascii="仿宋" w:hAnsi="仿宋" w:eastAsia="仿宋" w:cs="仿宋"/>
          <w:sz w:val="32"/>
          <w:szCs w:val="32"/>
          <w:lang w:eastAsia="zh-CN"/>
        </w:rPr>
        <w:t>人绒毛膜促性腺激素检测试剂（胶体金法）</w:t>
      </w:r>
      <w:r>
        <w:rPr>
          <w:rFonts w:hint="eastAsia" w:ascii="仿宋_GB2312" w:hAnsi="仿宋_GB2312" w:eastAsia="仿宋_GB2312" w:cs="仿宋_GB2312"/>
          <w:bCs/>
          <w:sz w:val="32"/>
          <w:szCs w:val="32"/>
          <w:u w:val="none"/>
          <w:lang w:val="en-US" w:eastAsia="zh-CN"/>
        </w:rPr>
        <w:t>所检项目</w:t>
      </w:r>
      <w:r>
        <w:rPr>
          <w:rFonts w:hint="eastAsia" w:ascii="仿宋" w:hAnsi="仿宋" w:eastAsia="仿宋" w:cs="仿宋"/>
          <w:sz w:val="32"/>
          <w:szCs w:val="32"/>
          <w:lang w:eastAsia="zh-CN"/>
        </w:rPr>
        <w:t>不符合</w:t>
      </w:r>
      <w:r>
        <w:rPr>
          <w:rFonts w:hint="eastAsia" w:ascii="仿宋" w:hAnsi="仿宋" w:eastAsia="仿宋" w:cs="仿宋"/>
          <w:kern w:val="1"/>
          <w:sz w:val="32"/>
          <w:szCs w:val="32"/>
          <w:lang w:eastAsia="zh-CN"/>
        </w:rPr>
        <w:t>当事人</w:t>
      </w:r>
      <w:r>
        <w:rPr>
          <w:rFonts w:hint="eastAsia" w:ascii="仿宋" w:hAnsi="仿宋" w:eastAsia="仿宋" w:cs="仿宋"/>
          <w:sz w:val="32"/>
          <w:szCs w:val="32"/>
          <w:lang w:eastAsia="zh-CN"/>
        </w:rPr>
        <w:t>人绒毛膜促性腺激素检测试剂（胶体金法）产品技术要求（闽械注准</w:t>
      </w:r>
      <w:r>
        <w:rPr>
          <w:rFonts w:hint="eastAsia" w:ascii="仿宋" w:hAnsi="仿宋" w:eastAsia="仿宋" w:cs="仿宋"/>
          <w:sz w:val="32"/>
          <w:szCs w:val="32"/>
          <w:lang w:val="en-US" w:eastAsia="zh-CN"/>
        </w:rPr>
        <w:t>20162400172</w:t>
      </w:r>
      <w:r>
        <w:rPr>
          <w:rFonts w:hint="eastAsia" w:ascii="仿宋" w:hAnsi="仿宋" w:eastAsia="仿宋" w:cs="仿宋"/>
          <w:sz w:val="32"/>
          <w:szCs w:val="32"/>
          <w:lang w:eastAsia="zh-CN"/>
        </w:rPr>
        <w:t>）</w:t>
      </w:r>
      <w:r>
        <w:rPr>
          <w:rFonts w:hint="eastAsia" w:ascii="仿宋" w:hAnsi="仿宋" w:eastAsia="仿宋" w:cs="仿宋"/>
          <w:color w:val="000000" w:themeColor="text1"/>
          <w:sz w:val="32"/>
          <w:szCs w:val="32"/>
          <w:lang w:eastAsia="zh-CN"/>
          <w14:textFill>
            <w14:solidFill>
              <w14:schemeClr w14:val="tx1"/>
            </w14:solidFill>
          </w14:textFill>
        </w:rPr>
        <w:t>，具体不符合</w:t>
      </w:r>
      <w:r>
        <w:rPr>
          <w:rFonts w:hint="eastAsia" w:ascii="仿宋" w:hAnsi="仿宋" w:eastAsia="仿宋" w:cs="仿宋"/>
          <w:sz w:val="32"/>
          <w:szCs w:val="32"/>
          <w:lang w:eastAsia="zh-CN"/>
        </w:rPr>
        <w:t>产品技术要求的</w:t>
      </w:r>
      <w:r>
        <w:rPr>
          <w:rFonts w:hint="eastAsia" w:ascii="仿宋_GB2312" w:hAnsi="仿宋_GB2312" w:eastAsia="仿宋_GB2312" w:cs="仿宋_GB2312"/>
          <w:bCs/>
          <w:sz w:val="32"/>
          <w:szCs w:val="32"/>
          <w:u w:val="none"/>
          <w:lang w:val="en-US" w:eastAsia="zh-CN"/>
        </w:rPr>
        <w:t>检验项目为“检出限、特异性”</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r>
        <w:rPr>
          <w:rFonts w:hint="eastAsia" w:ascii="仿宋" w:hAnsi="仿宋" w:eastAsia="仿宋" w:cs="仿宋"/>
          <w:color w:val="00000A"/>
          <w:sz w:val="32"/>
          <w:szCs w:val="32"/>
          <w:lang w:eastAsia="zh-CN"/>
        </w:rPr>
        <w:t>202</w:t>
      </w:r>
      <w:r>
        <w:rPr>
          <w:rFonts w:hint="eastAsia" w:ascii="仿宋" w:hAnsi="仿宋" w:eastAsia="仿宋" w:cs="仿宋"/>
          <w:color w:val="00000A"/>
          <w:sz w:val="32"/>
          <w:szCs w:val="32"/>
          <w:lang w:val="en-US" w:eastAsia="zh-CN"/>
        </w:rPr>
        <w:t>5</w:t>
      </w:r>
      <w:r>
        <w:rPr>
          <w:rFonts w:hint="eastAsia" w:ascii="仿宋" w:hAnsi="仿宋" w:eastAsia="仿宋" w:cs="仿宋"/>
          <w:color w:val="00000A"/>
          <w:sz w:val="32"/>
          <w:szCs w:val="32"/>
          <w:lang w:eastAsia="zh-CN"/>
        </w:rPr>
        <w:t>年</w:t>
      </w:r>
      <w:r>
        <w:rPr>
          <w:rFonts w:hint="eastAsia" w:ascii="仿宋" w:hAnsi="仿宋" w:eastAsia="仿宋" w:cs="仿宋"/>
          <w:color w:val="00000A"/>
          <w:sz w:val="32"/>
          <w:szCs w:val="32"/>
          <w:lang w:val="en-US" w:eastAsia="zh-CN"/>
        </w:rPr>
        <w:t>7</w:t>
      </w:r>
      <w:r>
        <w:rPr>
          <w:rFonts w:hint="eastAsia" w:ascii="仿宋" w:hAnsi="仿宋" w:eastAsia="仿宋" w:cs="仿宋"/>
          <w:color w:val="00000A"/>
          <w:sz w:val="32"/>
          <w:szCs w:val="32"/>
          <w:lang w:eastAsia="zh-CN"/>
        </w:rPr>
        <w:t>月</w:t>
      </w:r>
      <w:r>
        <w:rPr>
          <w:rFonts w:hint="eastAsia" w:ascii="仿宋" w:hAnsi="仿宋" w:eastAsia="仿宋" w:cs="仿宋"/>
          <w:color w:val="00000A"/>
          <w:sz w:val="32"/>
          <w:szCs w:val="32"/>
          <w:lang w:val="en-US" w:eastAsia="zh-CN"/>
        </w:rPr>
        <w:t>1</w:t>
      </w:r>
      <w:r>
        <w:rPr>
          <w:rFonts w:hint="eastAsia" w:ascii="仿宋" w:hAnsi="仿宋" w:eastAsia="仿宋" w:cs="仿宋"/>
          <w:color w:val="00000A"/>
          <w:sz w:val="32"/>
          <w:szCs w:val="32"/>
          <w:lang w:eastAsia="zh-CN"/>
        </w:rPr>
        <w:t>日，</w:t>
      </w:r>
      <w:r>
        <w:rPr>
          <w:rFonts w:hint="eastAsia" w:ascii="仿宋" w:hAnsi="仿宋" w:eastAsia="仿宋" w:cs="仿宋"/>
          <w:sz w:val="32"/>
          <w:szCs w:val="32"/>
          <w:lang w:eastAsia="zh-CN"/>
        </w:rPr>
        <w:t>本局</w:t>
      </w:r>
      <w:r>
        <w:rPr>
          <w:rFonts w:hint="eastAsia" w:ascii="仿宋" w:hAnsi="仿宋" w:eastAsia="仿宋" w:cs="仿宋"/>
          <w:color w:val="00000A"/>
          <w:sz w:val="32"/>
          <w:szCs w:val="32"/>
          <w:lang w:eastAsia="zh-CN"/>
        </w:rPr>
        <w:t>向</w:t>
      </w:r>
      <w:r>
        <w:rPr>
          <w:rFonts w:hint="eastAsia" w:ascii="仿宋" w:hAnsi="仿宋" w:eastAsia="仿宋" w:cs="仿宋"/>
          <w:kern w:val="1"/>
          <w:sz w:val="32"/>
          <w:szCs w:val="32"/>
          <w:lang w:val="en-US" w:eastAsia="zh-CN"/>
        </w:rPr>
        <w:t>当事人</w:t>
      </w:r>
      <w:r>
        <w:rPr>
          <w:rFonts w:hint="eastAsia" w:ascii="仿宋" w:hAnsi="仿宋" w:eastAsia="仿宋" w:cs="仿宋"/>
          <w:kern w:val="1"/>
          <w:sz w:val="32"/>
          <w:szCs w:val="32"/>
          <w:lang w:eastAsia="zh-CN"/>
        </w:rPr>
        <w:t>直接</w:t>
      </w:r>
      <w:r>
        <w:rPr>
          <w:rFonts w:hint="eastAsia" w:ascii="仿宋" w:hAnsi="仿宋" w:eastAsia="仿宋" w:cs="仿宋"/>
          <w:color w:val="00000A"/>
          <w:sz w:val="32"/>
          <w:szCs w:val="32"/>
          <w:lang w:eastAsia="zh-CN"/>
        </w:rPr>
        <w:t>送达了上述《检验报告》，并进行了核查。202</w:t>
      </w:r>
      <w:r>
        <w:rPr>
          <w:rFonts w:hint="eastAsia" w:ascii="仿宋" w:hAnsi="仿宋" w:eastAsia="仿宋" w:cs="仿宋"/>
          <w:color w:val="00000A"/>
          <w:sz w:val="32"/>
          <w:szCs w:val="32"/>
          <w:lang w:val="en-US" w:eastAsia="zh-CN"/>
        </w:rPr>
        <w:t>5</w:t>
      </w:r>
      <w:r>
        <w:rPr>
          <w:rFonts w:hint="eastAsia" w:ascii="仿宋" w:hAnsi="仿宋" w:eastAsia="仿宋" w:cs="仿宋"/>
          <w:color w:val="00000A"/>
          <w:sz w:val="32"/>
          <w:szCs w:val="32"/>
          <w:lang w:eastAsia="zh-CN"/>
        </w:rPr>
        <w:t>年</w:t>
      </w:r>
      <w:r>
        <w:rPr>
          <w:rFonts w:hint="eastAsia" w:ascii="仿宋" w:hAnsi="仿宋" w:eastAsia="仿宋" w:cs="仿宋"/>
          <w:color w:val="00000A"/>
          <w:sz w:val="32"/>
          <w:szCs w:val="32"/>
          <w:lang w:val="en-US" w:eastAsia="zh-CN"/>
        </w:rPr>
        <w:t>7</w:t>
      </w:r>
      <w:r>
        <w:rPr>
          <w:rFonts w:hint="eastAsia" w:ascii="仿宋" w:hAnsi="仿宋" w:eastAsia="仿宋" w:cs="仿宋"/>
          <w:color w:val="00000A"/>
          <w:sz w:val="32"/>
          <w:szCs w:val="32"/>
          <w:lang w:eastAsia="zh-CN"/>
        </w:rPr>
        <w:t>月</w:t>
      </w:r>
      <w:r>
        <w:rPr>
          <w:rFonts w:hint="eastAsia" w:ascii="仿宋" w:hAnsi="仿宋" w:eastAsia="仿宋" w:cs="仿宋"/>
          <w:color w:val="00000A"/>
          <w:sz w:val="32"/>
          <w:szCs w:val="32"/>
          <w:highlight w:val="none"/>
          <w:lang w:val="en-US" w:eastAsia="zh-CN"/>
        </w:rPr>
        <w:t>4</w:t>
      </w:r>
      <w:r>
        <w:rPr>
          <w:rFonts w:hint="eastAsia" w:ascii="仿宋" w:hAnsi="仿宋" w:eastAsia="仿宋" w:cs="仿宋"/>
          <w:color w:val="00000A"/>
          <w:sz w:val="32"/>
          <w:szCs w:val="32"/>
          <w:highlight w:val="none"/>
          <w:lang w:eastAsia="zh-CN"/>
        </w:rPr>
        <w:t>日</w:t>
      </w:r>
      <w:r>
        <w:rPr>
          <w:rFonts w:hint="eastAsia" w:ascii="仿宋" w:hAnsi="仿宋" w:eastAsia="仿宋" w:cs="仿宋"/>
          <w:color w:val="00000A"/>
          <w:sz w:val="32"/>
          <w:szCs w:val="32"/>
          <w:lang w:eastAsia="zh-CN"/>
        </w:rPr>
        <w:t>，</w:t>
      </w:r>
      <w:r>
        <w:rPr>
          <w:rFonts w:hint="eastAsia" w:ascii="仿宋" w:hAnsi="仿宋" w:eastAsia="仿宋" w:cs="仿宋"/>
          <w:sz w:val="32"/>
          <w:szCs w:val="32"/>
          <w:lang w:eastAsia="zh-CN"/>
        </w:rPr>
        <w:t>本局</w:t>
      </w:r>
      <w:r>
        <w:rPr>
          <w:rFonts w:hint="eastAsia" w:ascii="仿宋" w:hAnsi="仿宋" w:eastAsia="仿宋" w:cs="仿宋"/>
          <w:color w:val="00000A"/>
          <w:sz w:val="32"/>
          <w:szCs w:val="32"/>
          <w:lang w:eastAsia="zh-CN"/>
        </w:rPr>
        <w:t>同意</w:t>
      </w:r>
      <w:r>
        <w:rPr>
          <w:rFonts w:hint="eastAsia" w:ascii="仿宋" w:hAnsi="仿宋" w:eastAsia="仿宋" w:cs="仿宋"/>
          <w:kern w:val="1"/>
          <w:sz w:val="32"/>
          <w:szCs w:val="32"/>
          <w:lang w:val="en-US" w:eastAsia="zh-CN"/>
        </w:rPr>
        <w:t>当事人</w:t>
      </w:r>
      <w:r>
        <w:rPr>
          <w:rFonts w:hint="eastAsia" w:ascii="仿宋" w:hAnsi="仿宋" w:eastAsia="仿宋" w:cs="仿宋"/>
          <w:color w:val="00000A"/>
          <w:sz w:val="32"/>
          <w:szCs w:val="32"/>
          <w:lang w:eastAsia="zh-CN"/>
        </w:rPr>
        <w:t>复检申请。202</w:t>
      </w:r>
      <w:r>
        <w:rPr>
          <w:rFonts w:hint="eastAsia" w:ascii="仿宋" w:hAnsi="仿宋" w:eastAsia="仿宋" w:cs="仿宋"/>
          <w:color w:val="00000A"/>
          <w:sz w:val="32"/>
          <w:szCs w:val="32"/>
          <w:lang w:val="en-US" w:eastAsia="zh-CN"/>
        </w:rPr>
        <w:t>5</w:t>
      </w:r>
      <w:r>
        <w:rPr>
          <w:rFonts w:hint="eastAsia" w:ascii="仿宋" w:hAnsi="仿宋" w:eastAsia="仿宋" w:cs="仿宋"/>
          <w:color w:val="00000A"/>
          <w:sz w:val="32"/>
          <w:szCs w:val="32"/>
          <w:lang w:eastAsia="zh-CN"/>
        </w:rPr>
        <w:t>年</w:t>
      </w:r>
      <w:r>
        <w:rPr>
          <w:rFonts w:hint="eastAsia" w:ascii="仿宋" w:hAnsi="仿宋" w:eastAsia="仿宋" w:cs="仿宋"/>
          <w:color w:val="00000A"/>
          <w:sz w:val="32"/>
          <w:szCs w:val="32"/>
          <w:lang w:val="en-US" w:eastAsia="zh-CN"/>
        </w:rPr>
        <w:t>8</w:t>
      </w:r>
      <w:r>
        <w:rPr>
          <w:rFonts w:hint="eastAsia" w:ascii="仿宋" w:hAnsi="仿宋" w:eastAsia="仿宋" w:cs="仿宋"/>
          <w:color w:val="00000A"/>
          <w:sz w:val="32"/>
          <w:szCs w:val="32"/>
          <w:lang w:eastAsia="zh-CN"/>
        </w:rPr>
        <w:t>月</w:t>
      </w:r>
      <w:r>
        <w:rPr>
          <w:rFonts w:hint="eastAsia" w:ascii="仿宋" w:hAnsi="仿宋" w:eastAsia="仿宋" w:cs="仿宋"/>
          <w:color w:val="00000A"/>
          <w:sz w:val="32"/>
          <w:szCs w:val="32"/>
          <w:lang w:val="en-US" w:eastAsia="zh-CN"/>
        </w:rPr>
        <w:t>6</w:t>
      </w:r>
      <w:r>
        <w:rPr>
          <w:rFonts w:hint="eastAsia" w:ascii="仿宋" w:hAnsi="仿宋" w:eastAsia="仿宋" w:cs="仿宋"/>
          <w:color w:val="00000A"/>
          <w:sz w:val="32"/>
          <w:szCs w:val="32"/>
          <w:lang w:eastAsia="zh-CN"/>
        </w:rPr>
        <w:t>日，本局收到</w:t>
      </w:r>
      <w:r>
        <w:rPr>
          <w:rFonts w:hint="eastAsia" w:ascii="仿宋" w:hAnsi="仿宋" w:eastAsia="仿宋" w:cs="仿宋"/>
          <w:color w:val="00000A"/>
          <w:sz w:val="32"/>
          <w:szCs w:val="32"/>
          <w:lang w:val="en-US" w:eastAsia="zh-CN"/>
        </w:rPr>
        <w:t>深圳市医疗器械检测中心</w:t>
      </w:r>
      <w:r>
        <w:rPr>
          <w:rFonts w:hint="eastAsia" w:ascii="仿宋" w:hAnsi="仿宋" w:eastAsia="仿宋" w:cs="仿宋"/>
          <w:color w:val="00000A"/>
          <w:sz w:val="32"/>
          <w:szCs w:val="32"/>
          <w:lang w:eastAsia="zh-CN"/>
        </w:rPr>
        <w:t>《检验报告》（编号：</w:t>
      </w:r>
      <w:r>
        <w:rPr>
          <w:rFonts w:hint="eastAsia" w:ascii="仿宋" w:hAnsi="仿宋" w:eastAsia="仿宋" w:cs="仿宋"/>
          <w:color w:val="00000A"/>
          <w:sz w:val="32"/>
          <w:szCs w:val="32"/>
          <w:lang w:val="en-US" w:eastAsia="zh-CN"/>
        </w:rPr>
        <w:t>WD20251676</w:t>
      </w:r>
      <w:r>
        <w:rPr>
          <w:rFonts w:hint="eastAsia" w:ascii="仿宋" w:hAnsi="仿宋" w:eastAsia="仿宋" w:cs="仿宋"/>
          <w:color w:val="00000A"/>
          <w:sz w:val="32"/>
          <w:szCs w:val="32"/>
          <w:lang w:eastAsia="zh-CN"/>
        </w:rPr>
        <w:t>），上述两个检验项目的</w:t>
      </w:r>
      <w:r>
        <w:rPr>
          <w:rFonts w:hint="eastAsia" w:ascii="仿宋" w:hAnsi="仿宋" w:eastAsia="仿宋" w:cs="仿宋"/>
          <w:color w:val="00000A"/>
          <w:sz w:val="32"/>
          <w:szCs w:val="32"/>
          <w:lang w:val="en-US" w:eastAsia="zh-CN"/>
        </w:rPr>
        <w:t>复检</w:t>
      </w:r>
      <w:r>
        <w:rPr>
          <w:rFonts w:hint="eastAsia" w:ascii="仿宋" w:hAnsi="仿宋" w:eastAsia="仿宋" w:cs="仿宋"/>
          <w:color w:val="00000A"/>
          <w:sz w:val="32"/>
          <w:szCs w:val="32"/>
          <w:lang w:eastAsia="zh-CN"/>
        </w:rPr>
        <w:t>结论为不合格。202</w:t>
      </w:r>
      <w:r>
        <w:rPr>
          <w:rFonts w:hint="eastAsia" w:ascii="仿宋" w:hAnsi="仿宋" w:eastAsia="仿宋" w:cs="仿宋"/>
          <w:color w:val="00000A"/>
          <w:sz w:val="32"/>
          <w:szCs w:val="32"/>
          <w:lang w:val="en-US" w:eastAsia="zh-CN"/>
        </w:rPr>
        <w:t>5</w:t>
      </w:r>
      <w:r>
        <w:rPr>
          <w:rFonts w:hint="eastAsia" w:ascii="仿宋" w:hAnsi="仿宋" w:eastAsia="仿宋" w:cs="仿宋"/>
          <w:color w:val="00000A"/>
          <w:sz w:val="32"/>
          <w:szCs w:val="32"/>
          <w:lang w:eastAsia="zh-CN"/>
        </w:rPr>
        <w:t>年</w:t>
      </w:r>
      <w:r>
        <w:rPr>
          <w:rFonts w:hint="eastAsia" w:ascii="仿宋" w:hAnsi="仿宋" w:eastAsia="仿宋" w:cs="仿宋"/>
          <w:color w:val="00000A"/>
          <w:sz w:val="32"/>
          <w:szCs w:val="32"/>
          <w:lang w:val="en-US" w:eastAsia="zh-CN"/>
        </w:rPr>
        <w:t>8</w:t>
      </w:r>
      <w:r>
        <w:rPr>
          <w:rFonts w:hint="eastAsia" w:ascii="仿宋" w:hAnsi="仿宋" w:eastAsia="仿宋" w:cs="仿宋"/>
          <w:color w:val="00000A"/>
          <w:sz w:val="32"/>
          <w:szCs w:val="32"/>
          <w:lang w:eastAsia="zh-CN"/>
        </w:rPr>
        <w:t>月</w:t>
      </w:r>
      <w:r>
        <w:rPr>
          <w:rFonts w:hint="eastAsia" w:ascii="仿宋" w:hAnsi="仿宋" w:eastAsia="仿宋" w:cs="仿宋"/>
          <w:color w:val="00000A"/>
          <w:sz w:val="32"/>
          <w:szCs w:val="32"/>
          <w:lang w:val="en-US" w:eastAsia="zh-CN"/>
        </w:rPr>
        <w:t>13</w:t>
      </w:r>
      <w:r>
        <w:rPr>
          <w:rFonts w:hint="eastAsia" w:ascii="仿宋" w:hAnsi="仿宋" w:eastAsia="仿宋" w:cs="仿宋"/>
          <w:color w:val="00000A"/>
          <w:sz w:val="32"/>
          <w:szCs w:val="32"/>
          <w:lang w:eastAsia="zh-CN"/>
        </w:rPr>
        <w:t>日，本局予以立案调查。</w:t>
      </w:r>
      <w:r>
        <w:rPr>
          <w:rFonts w:hint="eastAsia" w:ascii="仿宋_GB2312" w:hAnsi="仿宋_GB2312" w:eastAsia="仿宋_GB2312" w:cs="仿宋_GB2312"/>
          <w:bCs/>
          <w:color w:val="auto"/>
          <w:sz w:val="32"/>
          <w:szCs w:val="32"/>
          <w:lang w:val="en-US" w:eastAsia="zh-CN"/>
        </w:rPr>
        <w:t>因当事人无库存涉案批次产品，本局未实施行</w:t>
      </w:r>
      <w:r>
        <w:rPr>
          <w:rFonts w:hint="eastAsia" w:ascii="仿宋" w:hAnsi="仿宋" w:eastAsia="仿宋" w:cs="仿宋"/>
          <w:sz w:val="32"/>
          <w:szCs w:val="32"/>
          <w:lang w:val="en-US" w:eastAsia="zh-CN"/>
        </w:rPr>
        <w:t>政强制措施。</w:t>
      </w:r>
    </w:p>
    <w:p>
      <w:pPr>
        <w:spacing w:line="56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经查，当事人于2025年1月22日至2月25日期间生产了批号为202501B102、规格型号为试条（内包装1支/袋）：100人份/盒的人绒毛膜促性腺激素检测试剂（胶体金法）100000人份，其中200人份用于成品性能检验，200人份用于留样，经检验合格后，最终放行入库数量为99600人份。2025年3月12日，福建省食品药</w:t>
      </w:r>
      <w:r>
        <w:rPr>
          <w:rFonts w:hint="eastAsia" w:ascii="仿宋" w:hAnsi="仿宋" w:eastAsia="仿宋" w:cs="仿宋"/>
          <w:color w:val="000000"/>
          <w:sz w:val="32"/>
          <w:szCs w:val="32"/>
          <w:lang w:val="en-US" w:eastAsia="zh-CN"/>
        </w:rPr>
        <w:t>品</w:t>
      </w:r>
      <w:r>
        <w:rPr>
          <w:rFonts w:hint="eastAsia" w:ascii="仿宋" w:hAnsi="仿宋" w:eastAsia="仿宋" w:cs="仿宋"/>
          <w:sz w:val="32"/>
          <w:szCs w:val="32"/>
          <w:lang w:val="en-US" w:eastAsia="zh-CN"/>
        </w:rPr>
        <w:t>质量检验研究院在当事人成品库抽取了200人份涉案批次产品用于国家监督抽样，该批抽样总价格为80元；2025年3月27日至4月24日期间，当事人销售了99000人份涉案批次产品给揭阳市**医疗器械有限公司等公司，销售额合计38987元；剩余400人份涉案批次产品赠送给河北**科技有限公司等公司，货值金额为64元。综上所述，涉案批次产品的货值金额为39131元，违法所得为38987元。上述产品经广西壮族自治区医疗器械检测中心检验和深圳市医疗器械检测中心复检，检验项目“检出限、特异性”不符合闽械注准20162400172产品技术要求中2.3最低检测限和2.5阳性特异性等项目的标准要求。当事人收到检验报告后，开展了原因分析、采取了纠正措施，启动了涉案批次人绒毛膜促性腺激素检测试剂（胶体金法）的召回工作，截止2025年10月17日，涉案批次人绒毛膜促性腺激素检测试剂（胶体金法）的召回数量为14992人份。</w:t>
      </w:r>
    </w:p>
    <w:p>
      <w:pPr>
        <w:spacing w:line="56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另查，当事人</w:t>
      </w:r>
      <w:r>
        <w:rPr>
          <w:rFonts w:hint="eastAsia" w:ascii="仿宋" w:hAnsi="仿宋" w:eastAsia="仿宋" w:cs="仿宋"/>
          <w:sz w:val="32"/>
          <w:szCs w:val="32"/>
          <w:lang w:val="zh-CN" w:eastAsia="zh-CN"/>
        </w:rPr>
        <w:t>案件办理期间，积极配合本局调查，如实陈述违法事实并主动提供原材料购进验收、生产、检验、销售、召回情况等记录材料；</w:t>
      </w:r>
      <w:r>
        <w:rPr>
          <w:rFonts w:hint="eastAsia" w:ascii="仿宋" w:hAnsi="仿宋" w:eastAsia="仿宋" w:cs="仿宋"/>
          <w:sz w:val="32"/>
          <w:szCs w:val="32"/>
          <w:lang w:val="en-US" w:eastAsia="zh-CN"/>
        </w:rPr>
        <w:t>当事人</w:t>
      </w:r>
      <w:r>
        <w:rPr>
          <w:rFonts w:hint="eastAsia" w:ascii="仿宋" w:hAnsi="仿宋" w:eastAsia="仿宋" w:cs="仿宋"/>
          <w:sz w:val="32"/>
          <w:szCs w:val="32"/>
          <w:lang w:val="zh-CN" w:eastAsia="zh-CN"/>
        </w:rPr>
        <w:t>系初次违法；</w:t>
      </w:r>
      <w:r>
        <w:rPr>
          <w:rFonts w:hint="eastAsia" w:ascii="仿宋" w:hAnsi="仿宋" w:eastAsia="仿宋" w:cs="仿宋"/>
          <w:sz w:val="32"/>
          <w:szCs w:val="32"/>
          <w:lang w:val="en-US" w:eastAsia="zh-CN"/>
        </w:rPr>
        <w:t>当事人</w:t>
      </w:r>
      <w:r>
        <w:rPr>
          <w:rFonts w:hint="eastAsia" w:ascii="仿宋" w:hAnsi="仿宋" w:eastAsia="仿宋" w:cs="仿宋"/>
          <w:sz w:val="32"/>
          <w:szCs w:val="32"/>
          <w:lang w:val="zh-CN" w:eastAsia="zh-CN"/>
        </w:rPr>
        <w:t>在</w:t>
      </w:r>
      <w:r>
        <w:rPr>
          <w:rFonts w:hint="eastAsia" w:ascii="仿宋" w:hAnsi="仿宋" w:eastAsia="仿宋" w:cs="仿宋"/>
          <w:sz w:val="32"/>
          <w:szCs w:val="32"/>
          <w:lang w:val="en-US" w:eastAsia="zh-CN"/>
        </w:rPr>
        <w:t>2024年度药品安全</w:t>
      </w:r>
      <w:r>
        <w:rPr>
          <w:rFonts w:hint="eastAsia" w:ascii="仿宋" w:hAnsi="仿宋" w:eastAsia="仿宋" w:cs="仿宋"/>
          <w:sz w:val="32"/>
          <w:szCs w:val="32"/>
          <w:lang w:val="zh-CN" w:eastAsia="zh-CN"/>
        </w:rPr>
        <w:t>信用风险评级为A类。</w:t>
      </w:r>
    </w:p>
    <w:p>
      <w:pPr>
        <w:spacing w:line="56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上述事实，主要有以下证据证明：</w:t>
      </w:r>
    </w:p>
    <w:p>
      <w:pPr>
        <w:spacing w:line="56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当事人《营业执照》《医疗器械生产许可证》、人绒毛膜促性腺激素检测试剂（胶体金法）《医疗器械注册证》及其产品技术要求等材料复印件各1份，证明当事人生产人绒毛膜促性腺激素检测试剂（胶体金法）的资质情况。</w:t>
      </w:r>
    </w:p>
    <w:p>
      <w:pPr>
        <w:spacing w:line="56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现场笔录、询问笔录、当事人法定代表人焦**、管理者代表兼任质量总监张**、生产负责人赖**等3人居民身份证复印件、管理者代表任命书，证明当事人相关人员的身份、职务情况；法定代表人焦**《委托授权书》1份，说明当事人的授权情况。</w:t>
      </w:r>
    </w:p>
    <w:p>
      <w:pPr>
        <w:spacing w:line="560" w:lineRule="exact"/>
        <w:ind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广西壮族自治区医疗器械检测中心《检验报告》（编号：2025CJ030002）、深圳市医疗器械检测中心《检验报告》（编号：WD20251676），证明案件来源；证明当事人生产的批号为202501B102人绒毛膜促性腺激素检测试剂（胶体金法）初检、复检结论均为不符合闽械注准20162400172产品技术要求。</w:t>
      </w:r>
    </w:p>
    <w:p>
      <w:pPr>
        <w:spacing w:line="56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4.询问笔录、当事人涉案批次人绒毛膜促性腺激素检测试剂（胶体金法）批生产记录、《金标产线法定留样记录表》及留样品照片等材料复印件各1份，说明当事人涉案批次产品的生产、检验及留样情况。</w:t>
      </w:r>
    </w:p>
    <w:p>
      <w:pPr>
        <w:spacing w:line="56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询问笔录、当事人《人绒毛膜促性腺激素检测试剂（胶体金法）-HCG（国内）检验操作指导书》《人绒毛膜促性腺激素检测试剂（胶体金法）-HCG（国内）质量标准》等材料复印件各1份，说明涉案产品检验操作及质量标准等情况。</w:t>
      </w:r>
    </w:p>
    <w:p>
      <w:pPr>
        <w:spacing w:line="56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询问笔录、当事人《采取风险控制措施及复检告知承诺书》《抽检不合格品采取措施的承诺书》《医疗器械召回事件报告表》《对我司人绒毛膜促性腺激素检测试剂（胶体金法）监督抽检结果的处理申请》《关于HCG灵敏度调整的说明》原件各1份；当事人《人绒毛膜促性腺激素检测试剂（胶体金法）批号：202501B102召回报告（2025）》复印件1份，说明当事人采取风险控制、产品召回、原因分析及纠正措施情况。</w:t>
      </w:r>
    </w:p>
    <w:p>
      <w:pPr>
        <w:spacing w:line="56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7.询问笔录、当事人涉案批次产品发运记录及《产品流向表》、随货同行单、销售发票及《医疗器械抽样记录及凭证》（抽样编号：3525300501002）等复印件各1份，证明涉案物品的流向及销售情况。</w:t>
      </w:r>
    </w:p>
    <w:p>
      <w:pPr>
        <w:spacing w:line="56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8.询问笔录、国家企业信用信息公示系统检索结果网页截图（检索时间：2025年9月2日）、福建省药品监督管理局厦门药品稽查办公室证明等，说明当事人系初次违法。</w:t>
      </w:r>
    </w:p>
    <w:p>
      <w:pPr>
        <w:spacing w:line="560" w:lineRule="exact"/>
        <w:ind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9.《福建省药品监督管理局关于公布2024年度药品安全信用风险分类结果的函》（闽药监法函〔2025〕145号），证明当事人在2024年度药品安全信用风险评级A类。</w:t>
      </w:r>
    </w:p>
    <w:p>
      <w:pPr>
        <w:spacing w:line="56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2025年10月21日，本局依法向当事人送达行政处罚告知书（闽药监厦稽办罚告〔2025〕017号），告知当事人本局拟作出的行政处罚内容及事实、理由、依据，并告知当事人依法享有的陈述、申辩、要求听证等权利。当事人在法定期限内未提出陈述、申辩意见，未要求听证。</w:t>
      </w:r>
    </w:p>
    <w:p>
      <w:pPr>
        <w:spacing w:line="56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本局认为，当事人生产的批号为202501B102人绒毛膜促性腺激素检测试剂（胶体金法）经检验不符合闽械注准20162400172产品技术要求，属不符合经注册的产品技术要求的医疗器械。当事人生产上述批次人绒毛膜促性腺激素检测试剂（胶体金法）的行为，违反了《医疗器械监督管理条例》第三十五条第一款之规定，构成了生产不符合经注册产品技术要求的医疗器械的违法行为。 </w:t>
      </w:r>
    </w:p>
    <w:p>
      <w:pPr>
        <w:spacing w:line="56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鉴于当事人存在下列可以从轻或者减轻行政处罚的情形：</w:t>
      </w:r>
    </w:p>
    <w:p>
      <w:pPr>
        <w:spacing w:line="560" w:lineRule="exact"/>
        <w:ind w:firstLine="640" w:firstLineChars="200"/>
        <w:jc w:val="both"/>
        <w:rPr>
          <w:rFonts w:hint="eastAsia" w:ascii="仿宋" w:hAnsi="仿宋" w:eastAsia="仿宋" w:cs="仿宋"/>
          <w:sz w:val="32"/>
          <w:szCs w:val="32"/>
          <w:lang w:val="zh-CN" w:eastAsia="zh-CN"/>
        </w:rPr>
      </w:pPr>
      <w:r>
        <w:rPr>
          <w:rFonts w:hint="eastAsia" w:ascii="仿宋" w:hAnsi="仿宋" w:eastAsia="仿宋" w:cs="仿宋"/>
          <w:sz w:val="32"/>
          <w:szCs w:val="32"/>
          <w:lang w:val="en-US" w:eastAsia="zh-CN"/>
        </w:rPr>
        <w:t>1.当事人积极采取改正、召回等措施。当事人接到抽检不合格报告后，通知客户暂停涉案批次产品的销售、使用，并组织进行全面的调查，包括留样调查、生产制造过程调查、产品标准调查等；启动召回程序，召回涉案批次产品14992人份；追溯该批次产品的客诉及不良反应信息，截止2025年9月8日，未收到该批次产品的客诉和不良事件记录，</w:t>
      </w:r>
      <w:r>
        <w:rPr>
          <w:rFonts w:hint="eastAsia" w:ascii="仿宋" w:hAnsi="仿宋" w:eastAsia="仿宋" w:cs="仿宋"/>
          <w:sz w:val="32"/>
          <w:szCs w:val="32"/>
          <w:lang w:val="zh-CN" w:eastAsia="zh-CN"/>
        </w:rPr>
        <w:t>符合《福建省药品监管行政处罚裁量适用细则》第十一条第一款第十项的规定，具有可以从轻或者减轻行政处罚的情节。</w:t>
      </w:r>
    </w:p>
    <w:p>
      <w:pPr>
        <w:spacing w:line="56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val="zh-CN" w:eastAsia="zh-CN"/>
        </w:rPr>
        <w:t>当事人积极配合调查，如实陈述违法事实并主动提供证据材料</w:t>
      </w:r>
      <w:r>
        <w:rPr>
          <w:rFonts w:hint="eastAsia" w:ascii="仿宋" w:hAnsi="仿宋" w:eastAsia="仿宋" w:cs="仿宋"/>
          <w:sz w:val="32"/>
          <w:szCs w:val="32"/>
          <w:lang w:val="en-US" w:eastAsia="zh-CN"/>
        </w:rPr>
        <w:t>，符合《福建省药品监管行政处罚裁量适用细则》第十一条第一款第二项的</w:t>
      </w:r>
      <w:r>
        <w:rPr>
          <w:rFonts w:hint="eastAsia" w:ascii="仿宋" w:hAnsi="仿宋" w:eastAsia="仿宋" w:cs="仿宋"/>
          <w:sz w:val="32"/>
          <w:szCs w:val="32"/>
          <w:lang w:val="zh-CN" w:eastAsia="zh-CN"/>
        </w:rPr>
        <w:t>规定，具有可以从轻或者减轻行政处罚的情节。</w:t>
      </w:r>
    </w:p>
    <w:p>
      <w:pPr>
        <w:spacing w:line="56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val="zh-CN" w:eastAsia="zh-CN"/>
        </w:rPr>
        <w:t>当事人系初次违法，且在</w:t>
      </w:r>
      <w:r>
        <w:rPr>
          <w:rFonts w:hint="eastAsia" w:ascii="仿宋" w:hAnsi="仿宋" w:eastAsia="仿宋" w:cs="仿宋"/>
          <w:sz w:val="32"/>
          <w:szCs w:val="32"/>
          <w:lang w:val="en-US" w:eastAsia="zh-CN"/>
        </w:rPr>
        <w:t>2024年度药品安全</w:t>
      </w:r>
      <w:r>
        <w:rPr>
          <w:rFonts w:hint="eastAsia" w:ascii="仿宋" w:hAnsi="仿宋" w:eastAsia="仿宋" w:cs="仿宋"/>
          <w:sz w:val="32"/>
          <w:szCs w:val="32"/>
          <w:lang w:val="zh-CN" w:eastAsia="zh-CN"/>
        </w:rPr>
        <w:t>信用风险评级为A类。经询问当事人、查询国家企业信用公示系统、本局近五年处罚信息，未发现当事人五年内有同一性质违法行为，符合《福建省药品监管行政处罚裁量适用细则》第十一条第一款第七项、第十一项的规定，具有可以从轻或者减轻行政处罚的情节。</w:t>
      </w:r>
    </w:p>
    <w:p>
      <w:pPr>
        <w:spacing w:line="56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同时，当事人无从重行政处罚或情节严重的情形，依据《药品监督管理行政处罚裁量适用规则》第十一条第二项、《福建省药品监管行政处罚裁量适用细则》第十一条第一款第二项、第七项、</w:t>
      </w:r>
      <w:r>
        <w:rPr>
          <w:rFonts w:hint="eastAsia" w:ascii="仿宋" w:hAnsi="仿宋" w:eastAsia="仿宋" w:cs="仿宋"/>
          <w:sz w:val="32"/>
          <w:szCs w:val="32"/>
          <w:lang w:val="zh-CN" w:eastAsia="zh-CN"/>
        </w:rPr>
        <w:t>第十项、第十一项</w:t>
      </w:r>
      <w:r>
        <w:rPr>
          <w:rFonts w:hint="eastAsia" w:ascii="仿宋" w:hAnsi="仿宋" w:eastAsia="仿宋" w:cs="仿宋"/>
          <w:sz w:val="32"/>
          <w:szCs w:val="32"/>
          <w:lang w:val="en-US" w:eastAsia="zh-CN"/>
        </w:rPr>
        <w:t>的规定，建议按从轻处罚等级量罚，参照《福建省药品监管行政处罚裁量适用细则》第二十六条第一项、《福建省医疗器械行政处罚裁量基准（试行）》QX-11的规定，</w:t>
      </w:r>
      <w:bookmarkStart w:id="0" w:name="_Hlk174971029"/>
      <w:r>
        <w:rPr>
          <w:rFonts w:hint="eastAsia" w:ascii="仿宋" w:hAnsi="仿宋" w:eastAsia="仿宋" w:cs="仿宋"/>
          <w:sz w:val="32"/>
          <w:szCs w:val="32"/>
          <w:lang w:val="en-US" w:eastAsia="zh-CN"/>
        </w:rPr>
        <w:t>即处货值金额39131元的5倍罚款，合计195655元。同时，根据《中华人民共和国行政处罚法》第二十八条第二款的规定，建议没收违法所得38987元。</w:t>
      </w:r>
      <w:bookmarkEnd w:id="0"/>
    </w:p>
    <w:p>
      <w:pPr>
        <w:spacing w:line="56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综上，当事人生产上述批次产品的行为，违反了《医疗器械监督管理条例》第三十五条第一款的规定，依据《中华人民共和国行政处罚法》第二十八条第二款、《医疗器械监督管理条例》第八十六条第一款第一项的规定，现责令当事人改正上述违法行为</w:t>
      </w:r>
      <w:r>
        <w:rPr>
          <w:rFonts w:hint="eastAsia" w:ascii="仿宋" w:hAnsi="仿宋" w:eastAsia="仿宋" w:cs="仿宋"/>
          <w:sz w:val="32"/>
          <w:szCs w:val="32"/>
          <w:lang w:val="zh-CN" w:eastAsia="zh-CN"/>
        </w:rPr>
        <w:t>，并决定处罚如下：</w:t>
      </w:r>
    </w:p>
    <w:p>
      <w:pPr>
        <w:spacing w:line="56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（一）没收当事人召回的生产批号为</w:t>
      </w:r>
      <w:bookmarkStart w:id="1" w:name="_Hlk18882991"/>
      <w:r>
        <w:rPr>
          <w:rFonts w:hint="eastAsia" w:ascii="仿宋" w:hAnsi="仿宋" w:eastAsia="仿宋" w:cs="仿宋"/>
          <w:sz w:val="32"/>
          <w:szCs w:val="32"/>
          <w:lang w:val="en-US" w:eastAsia="zh-CN"/>
        </w:rPr>
        <w:t>202501B102的人绒毛膜促性腺激素检测试剂（胶体金法）14992人份；</w:t>
      </w:r>
    </w:p>
    <w:p>
      <w:pPr>
        <w:spacing w:line="56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（二）没收违法所得38987元；</w:t>
      </w:r>
    </w:p>
    <w:p>
      <w:pPr>
        <w:spacing w:line="56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（三）罚款195655元</w:t>
      </w:r>
      <w:bookmarkEnd w:id="1"/>
      <w:r>
        <w:rPr>
          <w:rFonts w:hint="eastAsia" w:ascii="仿宋" w:hAnsi="仿宋" w:eastAsia="仿宋" w:cs="仿宋"/>
          <w:sz w:val="32"/>
          <w:szCs w:val="32"/>
          <w:lang w:val="en-US" w:eastAsia="zh-CN"/>
        </w:rPr>
        <w:t>。</w:t>
      </w:r>
    </w:p>
    <w:p>
      <w:pPr>
        <w:spacing w:line="56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上述罚没款合计234642元整（贰拾叁万肆仟陆佰肆拾贰元整）</w:t>
      </w:r>
    </w:p>
    <w:p>
      <w:pPr>
        <w:spacing w:line="56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当事人应当自收到本行政处罚决定书之日起十五日内，缴纳上述罚没款。当事人根据本局开具的《福建省非税收收入缴款通知书》，自行选择缴款方式。到期不缴纳罚款的，依据《中华人民共和国行政处罚法》第七十二条的规定，本局将每日按罚款数额的百分之三加处罚款，并依法申请人民法院强制执行。</w:t>
      </w:r>
    </w:p>
    <w:p>
      <w:pPr>
        <w:spacing w:line="56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zh-CN" w:eastAsia="zh-CN"/>
        </w:rPr>
        <w:t>如你单位不服本行政处罚决定，可以在收到本行政处罚决定书之日起六十日内向福建省人民政府申请行政复议；也可以在六个月内依法向福州市鼓楼区人民法院提起行政诉讼。申请行政复议或者提起行政诉讼期间，行政处罚不停止执行。</w:t>
      </w:r>
    </w:p>
    <w:p>
      <w:pPr>
        <w:spacing w:line="279" w:lineRule="auto"/>
        <w:rPr>
          <w:rFonts w:ascii="Microsoft JhengHei"/>
          <w:spacing w:val="0"/>
          <w:w w:val="100"/>
        </w:rPr>
      </w:pPr>
    </w:p>
    <w:p>
      <w:pPr>
        <w:spacing w:line="279" w:lineRule="auto"/>
        <w:rPr>
          <w:rFonts w:ascii="Microsoft JhengHei"/>
          <w:spacing w:val="0"/>
          <w:w w:val="100"/>
        </w:rPr>
      </w:pPr>
    </w:p>
    <w:p>
      <w:pPr>
        <w:spacing w:line="279" w:lineRule="auto"/>
        <w:rPr>
          <w:rFonts w:ascii="Microsoft JhengHei"/>
          <w:spacing w:val="0"/>
          <w:w w:val="100"/>
        </w:rPr>
      </w:pPr>
    </w:p>
    <w:p>
      <w:pPr>
        <w:keepNext w:val="0"/>
        <w:keepLines w:val="0"/>
        <w:pageBreakBefore w:val="0"/>
        <w:widowControl/>
        <w:kinsoku w:val="0"/>
        <w:overflowPunct/>
        <w:topLinePunct w:val="0"/>
        <w:autoSpaceDE w:val="0"/>
        <w:autoSpaceDN w:val="0"/>
        <w:adjustRightInd w:val="0"/>
        <w:snapToGrid w:val="0"/>
        <w:spacing w:line="360" w:lineRule="auto"/>
        <w:textAlignment w:val="baseline"/>
        <w:rPr>
          <w:rFonts w:ascii="Microsoft JhengHei"/>
          <w:spacing w:val="0"/>
          <w:w w:val="100"/>
        </w:rPr>
      </w:pPr>
    </w:p>
    <w:p>
      <w:pPr>
        <w:keepNext w:val="0"/>
        <w:keepLines w:val="0"/>
        <w:pageBreakBefore w:val="0"/>
        <w:widowControl/>
        <w:tabs>
          <w:tab w:val="left" w:pos="5667"/>
        </w:tabs>
        <w:kinsoku w:val="0"/>
        <w:wordWrap w:val="0"/>
        <w:overflowPunct/>
        <w:topLinePunct w:val="0"/>
        <w:autoSpaceDE w:val="0"/>
        <w:autoSpaceDN w:val="0"/>
        <w:bidi/>
        <w:adjustRightInd w:val="0"/>
        <w:snapToGrid w:val="0"/>
        <w:spacing w:line="360" w:lineRule="auto"/>
        <w:ind w:left="0" w:leftChars="0" w:right="840" w:rightChars="400" w:firstLine="0" w:firstLineChars="0"/>
        <w:jc w:val="both"/>
        <w:textAlignment w:val="baseline"/>
        <w:rPr>
          <w:rFonts w:hint="eastAsia" w:ascii="仿宋" w:hAnsi="仿宋" w:eastAsia="仿宋" w:cs="仿宋"/>
          <w:spacing w:val="0"/>
          <w:w w:val="100"/>
          <w:sz w:val="32"/>
          <w:szCs w:val="32"/>
          <w:lang w:val="en-US" w:eastAsia="zh-CN"/>
        </w:rPr>
      </w:pPr>
      <w:r>
        <w:rPr>
          <w:rFonts w:hint="eastAsia" w:ascii="仿宋" w:hAnsi="仿宋" w:eastAsia="仿宋" w:cs="仿宋"/>
          <w:spacing w:val="0"/>
          <w:w w:val="100"/>
          <w:sz w:val="32"/>
          <w:szCs w:val="32"/>
          <w:lang w:val="en-US" w:eastAsia="zh-CN"/>
        </w:rPr>
        <w:t>福建省药品监督管理局</w:t>
      </w:r>
    </w:p>
    <w:p>
      <w:pPr>
        <w:keepNext w:val="0"/>
        <w:keepLines w:val="0"/>
        <w:pageBreakBefore w:val="0"/>
        <w:widowControl/>
        <w:tabs>
          <w:tab w:val="left" w:pos="5667"/>
        </w:tabs>
        <w:kinsoku w:val="0"/>
        <w:wordWrap w:val="0"/>
        <w:overflowPunct/>
        <w:topLinePunct w:val="0"/>
        <w:autoSpaceDE w:val="0"/>
        <w:autoSpaceDN w:val="0"/>
        <w:bidi/>
        <w:adjustRightInd w:val="0"/>
        <w:snapToGrid w:val="0"/>
        <w:spacing w:line="20" w:lineRule="exact"/>
        <w:ind w:left="0" w:leftChars="0" w:right="840" w:rightChars="400" w:firstLine="0" w:firstLineChars="0"/>
        <w:jc w:val="left"/>
        <w:textAlignment w:val="baseline"/>
        <w:rPr>
          <w:rFonts w:hint="default" w:ascii="仿宋" w:hAnsi="仿宋" w:eastAsia="仿宋" w:cs="仿宋"/>
          <w:color w:val="FFFFFF" w:themeColor="background1"/>
          <w:spacing w:val="0"/>
          <w:w w:val="100"/>
          <w:sz w:val="32"/>
          <w:szCs w:val="32"/>
          <w:lang w:val="en-US" w:eastAsia="zh-CN"/>
          <w14:textFill>
            <w14:solidFill>
              <w14:schemeClr w14:val="bg1"/>
            </w14:solidFill>
          </w14:textFill>
        </w:rPr>
      </w:pPr>
      <w:r>
        <w:rPr>
          <w:rFonts w:hint="eastAsia" w:ascii="仿宋" w:hAnsi="仿宋" w:eastAsia="仿宋" w:cs="仿宋"/>
          <w:color w:val="FFFFFF" w:themeColor="background1"/>
          <w:spacing w:val="0"/>
          <w:w w:val="100"/>
          <w:sz w:val="32"/>
          <w:szCs w:val="32"/>
          <w:lang w:val="en-US" w:eastAsia="zh-CN"/>
          <w14:textFill>
            <w14:solidFill>
              <w14:schemeClr w14:val="bg1"/>
            </w14:solidFill>
          </w14:textFill>
        </w:rPr>
        <w:t>电子盖章</w:t>
      </w:r>
    </w:p>
    <w:p>
      <w:pPr>
        <w:keepNext w:val="0"/>
        <w:keepLines w:val="0"/>
        <w:pageBreakBefore w:val="0"/>
        <w:widowControl/>
        <w:suppressLineNumbers w:val="0"/>
        <w:kinsoku w:val="0"/>
        <w:overflowPunct/>
        <w:topLinePunct w:val="0"/>
        <w:autoSpaceDE w:val="0"/>
        <w:autoSpaceDN w:val="0"/>
        <w:adjustRightInd w:val="0"/>
        <w:snapToGrid w:val="0"/>
        <w:spacing w:line="360" w:lineRule="auto"/>
        <w:jc w:val="center"/>
        <w:textAlignment w:val="baseline"/>
        <w:rPr>
          <w:rFonts w:hint="eastAsia" w:ascii="仿宋_GB2312" w:hAnsi="仿宋_GB2312" w:eastAsia="仿宋" w:cs="仿宋_GB2312"/>
          <w:snapToGrid w:val="0"/>
          <w:color w:val="000000"/>
          <w:kern w:val="0"/>
          <w:sz w:val="31"/>
          <w:szCs w:val="31"/>
          <w:lang w:val="en-US" w:eastAsia="zh-CN" w:bidi="ar"/>
        </w:rPr>
      </w:pPr>
      <w:r>
        <w:rPr>
          <w:rFonts w:hint="eastAsia" w:ascii="仿宋_GB2312" w:hAnsi="仿宋_GB2312" w:eastAsia="仿宋_GB2312" w:cs="仿宋_GB2312"/>
          <w:snapToGrid w:val="0"/>
          <w:color w:val="000000"/>
          <w:kern w:val="0"/>
          <w:sz w:val="31"/>
          <w:szCs w:val="31"/>
          <w:lang w:val="en-US" w:eastAsia="zh-CN" w:bidi="ar"/>
        </w:rPr>
        <w:t xml:space="preserve">                                </w:t>
      </w:r>
      <w:r>
        <w:rPr>
          <w:rFonts w:hint="eastAsia" w:ascii="仿宋" w:hAnsi="仿宋" w:eastAsia="仿宋" w:cs="仿宋"/>
          <w:sz w:val="32"/>
          <w:lang w:val="en-US" w:eastAsia="zh-CN"/>
        </w:rPr>
        <w:t>2025</w:t>
      </w:r>
      <w:r>
        <w:rPr>
          <w:rFonts w:hint="eastAsia" w:ascii="仿宋" w:hAnsi="仿宋" w:eastAsia="仿宋" w:cs="仿宋"/>
          <w:sz w:val="32"/>
          <w:lang w:eastAsia="zh-CN"/>
        </w:rPr>
        <w:t>年</w:t>
      </w:r>
      <w:r>
        <w:rPr>
          <w:rFonts w:hint="eastAsia" w:ascii="仿宋" w:hAnsi="仿宋" w:eastAsia="仿宋" w:cs="仿宋"/>
          <w:sz w:val="32"/>
          <w:lang w:val="en-US" w:eastAsia="zh-CN"/>
        </w:rPr>
        <w:t>10</w:t>
      </w:r>
      <w:r>
        <w:rPr>
          <w:rFonts w:hint="eastAsia" w:ascii="仿宋" w:hAnsi="仿宋" w:eastAsia="仿宋" w:cs="仿宋"/>
          <w:sz w:val="32"/>
          <w:lang w:eastAsia="zh-CN"/>
        </w:rPr>
        <w:t>月</w:t>
      </w:r>
      <w:r>
        <w:rPr>
          <w:rFonts w:hint="eastAsia" w:ascii="仿宋" w:hAnsi="仿宋" w:eastAsia="仿宋" w:cs="仿宋"/>
          <w:sz w:val="32"/>
          <w:lang w:val="en-US" w:eastAsia="zh-CN"/>
        </w:rPr>
        <w:t>29</w:t>
      </w:r>
      <w:r>
        <w:rPr>
          <w:rFonts w:hint="eastAsia" w:ascii="仿宋" w:hAnsi="仿宋" w:eastAsia="仿宋" w:cs="仿宋"/>
          <w:sz w:val="32"/>
          <w:lang w:eastAsia="zh-CN"/>
        </w:rPr>
        <w:t>日</w:t>
      </w:r>
    </w:p>
    <w:p>
      <w:pPr>
        <w:keepNext w:val="0"/>
        <w:keepLines w:val="0"/>
        <w:pageBreakBefore w:val="0"/>
        <w:widowControl/>
        <w:tabs>
          <w:tab w:val="left" w:pos="5667"/>
        </w:tabs>
        <w:kinsoku w:val="0"/>
        <w:wordWrap/>
        <w:overflowPunct/>
        <w:topLinePunct w:val="0"/>
        <w:autoSpaceDE w:val="0"/>
        <w:autoSpaceDN w:val="0"/>
        <w:bidi/>
        <w:adjustRightInd w:val="0"/>
        <w:snapToGrid w:val="0"/>
        <w:spacing w:line="360" w:lineRule="auto"/>
        <w:ind w:left="0" w:leftChars="0" w:right="0" w:firstLine="1650" w:firstLineChars="1500"/>
        <w:jc w:val="left"/>
        <w:textAlignment w:val="baseline"/>
        <w:rPr>
          <w:rFonts w:hint="default" w:ascii="仿宋" w:hAnsi="仿宋" w:eastAsia="仿宋" w:cs="仿宋"/>
          <w:spacing w:val="0"/>
          <w:w w:val="100"/>
          <w:sz w:val="32"/>
          <w:szCs w:val="32"/>
          <w:lang w:val="en-US" w:eastAsia="zh-CN"/>
        </w:rPr>
      </w:pPr>
      <w:r>
        <w:rPr>
          <w:rFonts w:ascii="仿宋" w:hAnsi="仿宋" w:eastAsia="仿宋" w:cs="仿宋"/>
          <w:color w:val="FFFFFF" w:themeColor="background1"/>
          <w:spacing w:val="0"/>
          <w:w w:val="100"/>
          <w:sz w:val="11"/>
          <w:szCs w:val="11"/>
          <w14:textFill>
            <w14:solidFill>
              <w14:schemeClr w14:val="bg1"/>
            </w14:solidFill>
          </w14:textFill>
        </w:rPr>
        <w:t xml:space="preserve">（印 </w:t>
      </w:r>
      <w:r>
        <w:rPr>
          <w:rFonts w:hint="eastAsia" w:ascii="仿宋" w:hAnsi="仿宋" w:eastAsia="仿宋" w:cs="仿宋"/>
          <w:color w:val="FFFFFF" w:themeColor="background1"/>
          <w:spacing w:val="0"/>
          <w:w w:val="100"/>
          <w:sz w:val="11"/>
          <w:szCs w:val="11"/>
          <w:lang w:val="en-US" w:eastAsia="zh-CN"/>
          <w14:textFill>
            <w14:solidFill>
              <w14:schemeClr w14:val="bg1"/>
            </w14:solidFill>
          </w14:textFill>
        </w:rPr>
        <w:t xml:space="preserve">         </w:t>
      </w:r>
      <w:r>
        <w:rPr>
          <w:rFonts w:ascii="仿宋" w:hAnsi="仿宋" w:eastAsia="仿宋" w:cs="仿宋"/>
          <w:color w:val="FFFFFF" w:themeColor="background1"/>
          <w:spacing w:val="0"/>
          <w:w w:val="100"/>
          <w:sz w:val="11"/>
          <w:szCs w:val="11"/>
          <w14:textFill>
            <w14:solidFill>
              <w14:schemeClr w14:val="bg1"/>
            </w14:solidFill>
          </w14:textFill>
        </w:rPr>
        <w:t>章</w:t>
      </w:r>
      <w:r>
        <w:rPr>
          <w:rFonts w:ascii="仿宋" w:hAnsi="仿宋" w:eastAsia="仿宋" w:cs="仿宋"/>
          <w:color w:val="000000" w:themeColor="text1"/>
          <w:spacing w:val="0"/>
          <w:w w:val="100"/>
          <w:sz w:val="21"/>
          <w:szCs w:val="21"/>
          <w14:textFill>
            <w14:solidFill>
              <w14:schemeClr w14:val="tx1"/>
            </w14:solidFill>
          </w14:textFill>
        </w:rPr>
        <w:t xml:space="preserve"> </w:t>
      </w:r>
    </w:p>
    <w:p>
      <w:pPr>
        <w:spacing w:before="105" w:line="183" w:lineRule="auto"/>
        <w:ind w:firstLine="403"/>
        <w:jc w:val="center"/>
        <w:rPr>
          <w:rFonts w:ascii="黑体" w:hAnsi="黑体" w:eastAsia="黑体" w:cs="黑体"/>
          <w:color w:val="231F20"/>
          <w:spacing w:val="0"/>
          <w:w w:val="100"/>
          <w:sz w:val="32"/>
          <w:szCs w:val="32"/>
        </w:rPr>
      </w:pPr>
    </w:p>
    <w:p>
      <w:pPr>
        <w:spacing w:before="105" w:line="183" w:lineRule="auto"/>
        <w:ind w:firstLine="403"/>
        <w:jc w:val="center"/>
        <w:rPr>
          <w:rFonts w:ascii="Microsoft JhengHei"/>
          <w:spacing w:val="0"/>
          <w:w w:val="100"/>
        </w:rPr>
      </w:pPr>
      <w:r>
        <w:rPr>
          <w:rFonts w:hint="eastAsia" w:ascii="仿宋" w:hAnsi="仿宋" w:eastAsia="仿宋" w:cs="仿宋"/>
          <w:b/>
          <w:bCs/>
          <w:spacing w:val="0"/>
          <w:w w:val="100"/>
          <w:sz w:val="28"/>
          <w:szCs w:val="28"/>
          <w:u w:val="none"/>
          <w:lang w:val="en-US" w:eastAsia="zh-CN"/>
        </w:rPr>
        <w:t>（本局将依法向社会公开行政处罚决定信息）</w:t>
      </w:r>
    </w:p>
    <w:p>
      <w:pPr>
        <w:spacing w:line="26" w:lineRule="exact"/>
        <w:textAlignment w:val="center"/>
        <w:rPr>
          <w:spacing w:val="0"/>
          <w:w w:val="100"/>
        </w:rPr>
      </w:pPr>
      <w:r>
        <w:rPr>
          <w:spacing w:val="0"/>
          <w:w w:val="100"/>
        </w:rPr>
        <w:drawing>
          <wp:inline distT="0" distB="0" distL="0" distR="0">
            <wp:extent cx="5550535" cy="15875"/>
            <wp:effectExtent l="0" t="0" r="12065" b="6985"/>
            <wp:docPr id="229" name="IM 229"/>
            <wp:cNvGraphicFramePr/>
            <a:graphic xmlns:a="http://schemas.openxmlformats.org/drawingml/2006/main">
              <a:graphicData uri="http://schemas.openxmlformats.org/drawingml/2006/picture">
                <pic:pic xmlns:pic="http://schemas.openxmlformats.org/drawingml/2006/picture">
                  <pic:nvPicPr>
                    <pic:cNvPr id="229" name="IM 229"/>
                    <pic:cNvPicPr/>
                  </pic:nvPicPr>
                  <pic:blipFill>
                    <a:blip r:embed="rId6"/>
                    <a:stretch>
                      <a:fillRect/>
                    </a:stretch>
                  </pic:blipFill>
                  <pic:spPr>
                    <a:xfrm>
                      <a:off x="0" y="0"/>
                      <a:ext cx="5550535" cy="16509"/>
                    </a:xfrm>
                    <a:prstGeom prst="rect">
                      <a:avLst/>
                    </a:prstGeom>
                  </pic:spPr>
                </pic:pic>
              </a:graphicData>
            </a:graphic>
          </wp:inline>
        </w:drawing>
      </w:r>
    </w:p>
    <w:p>
      <w:pPr>
        <w:spacing w:before="106" w:line="183" w:lineRule="auto"/>
        <w:ind w:firstLine="231"/>
        <w:rPr>
          <w:spacing w:val="0"/>
          <w:w w:val="100"/>
        </w:rPr>
      </w:pPr>
      <w:r>
        <w:rPr>
          <w:rFonts w:ascii="仿宋" w:hAnsi="仿宋" w:eastAsia="仿宋" w:cs="仿宋"/>
          <w:spacing w:val="0"/>
          <w:w w:val="100"/>
          <w:sz w:val="32"/>
          <w:szCs w:val="32"/>
        </w:rPr>
        <w:t>本文书一</w:t>
      </w:r>
      <w:r>
        <w:rPr>
          <w:rFonts w:ascii="仿宋" w:hAnsi="仿宋" w:eastAsia="仿宋" w:cs="仿宋"/>
          <w:spacing w:val="0"/>
          <w:w w:val="100"/>
          <w:sz w:val="32"/>
          <w:szCs w:val="32"/>
          <w:u w:val="none"/>
        </w:rPr>
        <w:t>式</w:t>
      </w:r>
      <w:r>
        <w:rPr>
          <w:rFonts w:hint="eastAsia" w:ascii="仿宋" w:hAnsi="仿宋" w:eastAsia="仿宋" w:cs="仿宋"/>
          <w:spacing w:val="0"/>
          <w:w w:val="100"/>
          <w:sz w:val="32"/>
          <w:szCs w:val="32"/>
          <w:u w:val="none"/>
          <w:lang w:val="en-US" w:eastAsia="zh-CN"/>
        </w:rPr>
        <w:t>二</w:t>
      </w:r>
      <w:r>
        <w:rPr>
          <w:rFonts w:ascii="仿宋" w:hAnsi="仿宋" w:eastAsia="仿宋" w:cs="仿宋"/>
          <w:spacing w:val="0"/>
          <w:w w:val="100"/>
          <w:sz w:val="32"/>
          <w:szCs w:val="32"/>
          <w:u w:val="none"/>
        </w:rPr>
        <w:t>份，</w:t>
      </w:r>
      <w:r>
        <w:rPr>
          <w:rFonts w:hint="eastAsia" w:ascii="仿宋" w:hAnsi="仿宋" w:eastAsia="仿宋" w:cs="仿宋"/>
          <w:spacing w:val="0"/>
          <w:w w:val="100"/>
          <w:sz w:val="32"/>
          <w:szCs w:val="32"/>
          <w:u w:val="none"/>
          <w:lang w:val="en-US" w:eastAsia="zh-CN"/>
        </w:rPr>
        <w:t>一</w:t>
      </w:r>
      <w:r>
        <w:rPr>
          <w:rFonts w:ascii="仿宋" w:hAnsi="仿宋" w:eastAsia="仿宋" w:cs="仿宋"/>
          <w:spacing w:val="0"/>
          <w:w w:val="100"/>
          <w:sz w:val="32"/>
          <w:szCs w:val="32"/>
          <w:u w:val="none"/>
        </w:rPr>
        <w:t>份送达，</w:t>
      </w:r>
      <w:r>
        <w:rPr>
          <w:rFonts w:hint="eastAsia" w:ascii="仿宋" w:hAnsi="仿宋" w:eastAsia="仿宋" w:cs="仿宋"/>
          <w:spacing w:val="0"/>
          <w:w w:val="100"/>
          <w:sz w:val="32"/>
          <w:szCs w:val="32"/>
          <w:u w:val="none"/>
          <w:lang w:val="en-US" w:eastAsia="zh-CN"/>
        </w:rPr>
        <w:t>一</w:t>
      </w:r>
      <w:r>
        <w:rPr>
          <w:rFonts w:ascii="仿宋" w:hAnsi="仿宋" w:eastAsia="仿宋" w:cs="仿宋"/>
          <w:spacing w:val="0"/>
          <w:w w:val="100"/>
          <w:sz w:val="32"/>
          <w:szCs w:val="32"/>
          <w:u w:val="none"/>
        </w:rPr>
        <w:t>份归档</w:t>
      </w:r>
      <w:r>
        <w:rPr>
          <w:rFonts w:hint="eastAsia" w:ascii="仿宋" w:hAnsi="仿宋" w:eastAsia="仿宋" w:cs="仿宋"/>
          <w:spacing w:val="0"/>
          <w:w w:val="100"/>
          <w:sz w:val="32"/>
          <w:szCs w:val="32"/>
          <w:u w:val="none"/>
          <w:lang w:eastAsia="zh-CN"/>
        </w:rPr>
        <w:t>。</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Microsoft JhengHei">
    <w:altName w:val="方正书宋_GBK"/>
    <w:panose1 w:val="020B0604030504040204"/>
    <w:charset w:val="88"/>
    <w:family w:val="swiss"/>
    <w:pitch w:val="default"/>
    <w:sig w:usb0="00000000" w:usb1="00000000" w:usb2="00000016" w:usb3="00000000" w:csb0="00100009"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exact"/>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Microsoft JhengHei"/>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dit="trackedChange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000000"/>
    <w:rsid w:val="00523EB0"/>
    <w:rsid w:val="006F7CF7"/>
    <w:rsid w:val="00984DAE"/>
    <w:rsid w:val="016A6FD7"/>
    <w:rsid w:val="04293CFB"/>
    <w:rsid w:val="048605CC"/>
    <w:rsid w:val="05E10046"/>
    <w:rsid w:val="0AC44356"/>
    <w:rsid w:val="0B3440E4"/>
    <w:rsid w:val="0B754EF6"/>
    <w:rsid w:val="0D447276"/>
    <w:rsid w:val="0DBD22EC"/>
    <w:rsid w:val="0DC12675"/>
    <w:rsid w:val="10014FAA"/>
    <w:rsid w:val="11621A79"/>
    <w:rsid w:val="116E6670"/>
    <w:rsid w:val="12244F80"/>
    <w:rsid w:val="1444190A"/>
    <w:rsid w:val="14515DD5"/>
    <w:rsid w:val="1EDF2B6B"/>
    <w:rsid w:val="22813D29"/>
    <w:rsid w:val="23AD74CB"/>
    <w:rsid w:val="24392B0D"/>
    <w:rsid w:val="24B9255E"/>
    <w:rsid w:val="25205A7B"/>
    <w:rsid w:val="264E7E89"/>
    <w:rsid w:val="289A78F2"/>
    <w:rsid w:val="28F2772E"/>
    <w:rsid w:val="2A306760"/>
    <w:rsid w:val="2C545A11"/>
    <w:rsid w:val="2FA8323D"/>
    <w:rsid w:val="2FAD177C"/>
    <w:rsid w:val="30175A94"/>
    <w:rsid w:val="309D4424"/>
    <w:rsid w:val="33B26438"/>
    <w:rsid w:val="35543581"/>
    <w:rsid w:val="39B20F40"/>
    <w:rsid w:val="3AFB3A56"/>
    <w:rsid w:val="3AFE1F63"/>
    <w:rsid w:val="3C926E07"/>
    <w:rsid w:val="3CFE26EE"/>
    <w:rsid w:val="3E8D1F7B"/>
    <w:rsid w:val="3FEE67E5"/>
    <w:rsid w:val="414D154E"/>
    <w:rsid w:val="41913B31"/>
    <w:rsid w:val="41F53393"/>
    <w:rsid w:val="42530DE6"/>
    <w:rsid w:val="42E27DDC"/>
    <w:rsid w:val="44185E43"/>
    <w:rsid w:val="447253F1"/>
    <w:rsid w:val="452A2718"/>
    <w:rsid w:val="464F5D68"/>
    <w:rsid w:val="47BA0375"/>
    <w:rsid w:val="4AB4263E"/>
    <w:rsid w:val="526470DD"/>
    <w:rsid w:val="55F46D30"/>
    <w:rsid w:val="591F781C"/>
    <w:rsid w:val="5BF3746A"/>
    <w:rsid w:val="5C58107B"/>
    <w:rsid w:val="5C7B2FBB"/>
    <w:rsid w:val="5E457324"/>
    <w:rsid w:val="60756EDD"/>
    <w:rsid w:val="63D74F7B"/>
    <w:rsid w:val="643D19DF"/>
    <w:rsid w:val="658B24C1"/>
    <w:rsid w:val="65CE23AE"/>
    <w:rsid w:val="66C739CD"/>
    <w:rsid w:val="69293CA2"/>
    <w:rsid w:val="696372B1"/>
    <w:rsid w:val="6A252073"/>
    <w:rsid w:val="6AB959E6"/>
    <w:rsid w:val="6BCC4C3B"/>
    <w:rsid w:val="6BE5323D"/>
    <w:rsid w:val="6C3A79B0"/>
    <w:rsid w:val="751B33A8"/>
    <w:rsid w:val="77365F93"/>
    <w:rsid w:val="77D71596"/>
    <w:rsid w:val="787C9E1D"/>
    <w:rsid w:val="78D37FAF"/>
    <w:rsid w:val="795B53DC"/>
    <w:rsid w:val="7A08324D"/>
    <w:rsid w:val="7A41719B"/>
    <w:rsid w:val="7AA03EC1"/>
    <w:rsid w:val="7C091DFF"/>
    <w:rsid w:val="7D0A7D18"/>
    <w:rsid w:val="7DA55C93"/>
    <w:rsid w:val="7F7D0C75"/>
    <w:rsid w:val="7FFFD0A5"/>
    <w:rsid w:val="87FFBD91"/>
    <w:rsid w:val="BFDFF45E"/>
    <w:rsid w:val="DBFF6053"/>
    <w:rsid w:val="E7BA3416"/>
    <w:rsid w:val="FF1605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widowControl w:val="0"/>
      <w:ind w:firstLine="200" w:firstLineChars="200"/>
      <w:jc w:val="both"/>
    </w:pPr>
    <w:rPr>
      <w:rFonts w:ascii="Calibri" w:hAnsi="Calibri" w:eastAsia="宋体" w:cs="Times New Roman"/>
      <w:kern w:val="2"/>
      <w:sz w:val="21"/>
      <w:szCs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Title"/>
    <w:basedOn w:val="1"/>
    <w:next w:val="1"/>
    <w:qFormat/>
    <w:uiPriority w:val="0"/>
    <w:pPr>
      <w:spacing w:line="199" w:lineRule="auto"/>
      <w:jc w:val="center"/>
      <w:outlineLvl w:val="0"/>
    </w:pPr>
    <w:rPr>
      <w:rFonts w:ascii="Microsoft JhengHei" w:hAnsi="Microsoft JhengHei" w:eastAsia="Microsoft JhengHei" w:cs="Microsoft JhengHei"/>
      <w:spacing w:val="-2"/>
      <w:sz w:val="44"/>
      <w:szCs w:val="44"/>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305</Words>
  <Characters>413</Characters>
  <Lines>0</Lines>
  <Paragraphs>0</Paragraphs>
  <TotalTime>3</TotalTime>
  <ScaleCrop>false</ScaleCrop>
  <LinksUpToDate>false</LinksUpToDate>
  <CharactersWithSpaces>1064</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2024-02-29T10:14:00Z</dcterms:created>
  <dc:creator>admin</dc:creator>
  <cp:lastModifiedBy>邓绪铨</cp:lastModifiedBy>
  <dcterms:modified xsi:type="dcterms:W3CDTF">2025-10-29T14:50:16Z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05CBBD0B7681562A88B7016922CEE985</vt:lpwstr>
  </property>
</Properties>
</file>