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D8F9">
      <w:pPr>
        <w:pStyle w:val="2"/>
        <w:keepLines w:val="0"/>
        <w:pageBreakBefore w:val="0"/>
        <w:tabs>
          <w:tab w:val="left" w:pos="1259"/>
        </w:tabs>
        <w:kinsoku/>
        <w:wordWrap/>
        <w:overflowPunct/>
        <w:topLinePunct w:val="0"/>
        <w:autoSpaceDE/>
        <w:autoSpaceDN/>
        <w:bidi w:val="0"/>
        <w:spacing w:before="0" w:after="0" w:line="560" w:lineRule="exact"/>
        <w:jc w:val="center"/>
        <w:textAlignment w:val="auto"/>
        <w:rPr>
          <w:rFonts w:hint="eastAsia" w:ascii="方正小标宋简体" w:hAnsi="宋体" w:eastAsia="方正小标宋简体" w:cs="黑体"/>
          <w:color w:val="auto"/>
          <w:spacing w:val="-11"/>
          <w:sz w:val="18"/>
          <w:szCs w:val="18"/>
        </w:rPr>
      </w:pPr>
      <w:r>
        <w:rPr>
          <w:rFonts w:hint="eastAsia" w:ascii="方正小标宋简体" w:hAnsi="宋体" w:eastAsia="方正小标宋简体" w:cs="黑体"/>
          <w:color w:val="auto"/>
          <w:spacing w:val="-11"/>
          <w:sz w:val="44"/>
          <w:szCs w:val="44"/>
        </w:rPr>
        <w:t>福建省药品监督管理局</w:t>
      </w:r>
      <w:r>
        <w:rPr>
          <w:rFonts w:hint="eastAsia" w:ascii="方正小标宋简体" w:hAnsi="宋体" w:eastAsia="方正小标宋简体" w:cs="黑体"/>
          <w:color w:val="auto"/>
          <w:spacing w:val="-11"/>
          <w:sz w:val="44"/>
          <w:szCs w:val="44"/>
          <w:lang w:eastAsia="zh-CN"/>
        </w:rPr>
        <w:t>厦门药品稽查办公室</w:t>
      </w:r>
      <w:r>
        <w:rPr>
          <w:rFonts w:hint="eastAsia" w:ascii="方正小标宋简体" w:hAnsi="宋体" w:eastAsia="方正小标宋简体" w:cs="黑体"/>
          <w:color w:val="auto"/>
          <w:spacing w:val="-11"/>
          <w:sz w:val="44"/>
          <w:szCs w:val="44"/>
        </w:rPr>
        <w:t>行政处罚决定书</w:t>
      </w:r>
    </w:p>
    <w:p w14:paraId="782F6987">
      <w:pPr>
        <w:pStyle w:val="3"/>
        <w:keepLines w:val="0"/>
        <w:pageBreakBefore w:val="0"/>
        <w:tabs>
          <w:tab w:val="left" w:pos="8964"/>
        </w:tabs>
        <w:kinsoku/>
        <w:wordWrap/>
        <w:overflowPunct/>
        <w:topLinePunct w:val="0"/>
        <w:autoSpaceDE/>
        <w:autoSpaceDN/>
        <w:bidi w:val="0"/>
        <w:spacing w:line="560" w:lineRule="exact"/>
        <w:ind w:left="0" w:firstLine="640" w:firstLineChars="200"/>
        <w:jc w:val="center"/>
        <w:textAlignment w:val="auto"/>
        <w:rPr>
          <w:rFonts w:hint="eastAsia" w:ascii="楷体" w:hAnsi="楷体" w:eastAsia="楷体" w:cs="楷体"/>
          <w:color w:val="auto"/>
          <w:lang w:eastAsia="zh-CN" w:bidi="ar"/>
        </w:rPr>
      </w:pPr>
      <w:r>
        <w:rPr>
          <w:rFonts w:hint="eastAsia" w:ascii="楷体" w:hAnsi="楷体" w:eastAsia="楷体" w:cs="楷体"/>
          <w:color w:val="auto"/>
          <w:lang w:eastAsia="zh-CN" w:bidi="ar"/>
        </w:rPr>
        <w:t>闽药监厦稽办处罚〔202</w:t>
      </w:r>
      <w:r>
        <w:rPr>
          <w:rFonts w:hint="eastAsia" w:ascii="楷体" w:hAnsi="楷体" w:eastAsia="楷体" w:cs="楷体"/>
          <w:color w:val="auto"/>
          <w:lang w:val="en-US" w:eastAsia="zh-CN" w:bidi="ar"/>
        </w:rPr>
        <w:t>5</w:t>
      </w:r>
      <w:r>
        <w:rPr>
          <w:rFonts w:hint="eastAsia" w:ascii="楷体" w:hAnsi="楷体" w:eastAsia="楷体" w:cs="楷体"/>
          <w:color w:val="auto"/>
          <w:lang w:eastAsia="zh-CN" w:bidi="ar"/>
        </w:rPr>
        <w:t>〕</w:t>
      </w:r>
      <w:r>
        <w:rPr>
          <w:rFonts w:hint="eastAsia" w:ascii="楷体" w:hAnsi="楷体" w:eastAsia="楷体" w:cs="楷体"/>
          <w:color w:val="auto"/>
          <w:lang w:val="en-US" w:eastAsia="zh-CN" w:bidi="ar"/>
        </w:rPr>
        <w:t>017</w:t>
      </w:r>
      <w:r>
        <w:rPr>
          <w:rFonts w:hint="eastAsia" w:ascii="楷体" w:hAnsi="楷体" w:eastAsia="楷体" w:cs="楷体"/>
          <w:color w:val="auto"/>
          <w:lang w:eastAsia="zh-CN" w:bidi="ar"/>
        </w:rPr>
        <w:t>号</w:t>
      </w:r>
    </w:p>
    <w:p w14:paraId="14EC0793">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bCs/>
          <w:color w:val="auto"/>
          <w:sz w:val="32"/>
          <w:szCs w:val="32"/>
          <w:lang w:eastAsia="zh-CN"/>
        </w:rPr>
        <w:t>福建铭远制药有限公司</w:t>
      </w:r>
      <w:r>
        <w:rPr>
          <w:rFonts w:hint="eastAsia" w:ascii="仿宋_GB2312" w:hAnsi="仿宋_GB2312" w:eastAsia="仿宋_GB2312" w:cs="仿宋_GB2312"/>
          <w:color w:val="auto"/>
          <w:sz w:val="32"/>
          <w:szCs w:val="32"/>
          <w:lang w:val="en-US" w:eastAsia="zh-CN"/>
        </w:rPr>
        <w:t xml:space="preserve">                          </w:t>
      </w:r>
    </w:p>
    <w:p w14:paraId="78791F12">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主体资格证照名称：《营业执照》                  </w:t>
      </w:r>
    </w:p>
    <w:p w14:paraId="7AF6EAAB">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统一社会信用代码：913505835550684478      </w:t>
      </w:r>
    </w:p>
    <w:p w14:paraId="6A0E1082">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住所:福建省南安市水头镇五里桥开发区五里桥大道726号第五幢4-5层</w:t>
      </w:r>
    </w:p>
    <w:p w14:paraId="26667A21">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lang w:eastAsia="zh-CN"/>
        </w:rPr>
        <w:t>吴培育</w:t>
      </w:r>
    </w:p>
    <w:p w14:paraId="01AD3A5C">
      <w:pPr>
        <w:keepLines w:val="0"/>
        <w:pageBreakBefore w:val="0"/>
        <w:tabs>
          <w:tab w:val="left" w:pos="2440"/>
          <w:tab w:val="left" w:pos="8964"/>
        </w:tabs>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身份证号码：****   </w:t>
      </w:r>
    </w:p>
    <w:p w14:paraId="192B59DF">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根据泉州市食品药品检验所《检验报告》（编号：2025CDZ0248），</w:t>
      </w:r>
      <w:r>
        <w:rPr>
          <w:rFonts w:hint="eastAsia" w:ascii="仿宋_GB2312" w:hAnsi="仿宋_GB2312" w:eastAsia="仿宋_GB2312" w:cs="仿宋_GB2312"/>
          <w:bCs/>
          <w:color w:val="auto"/>
          <w:sz w:val="32"/>
          <w:szCs w:val="32"/>
          <w:lang w:eastAsia="zh-CN"/>
        </w:rPr>
        <w:t>福建铭远制药有限公司</w:t>
      </w:r>
      <w:r>
        <w:rPr>
          <w:rFonts w:hint="eastAsia" w:ascii="仿宋_GB2312" w:hAnsi="仿宋_GB2312" w:eastAsia="仿宋_GB2312" w:cs="仿宋_GB2312"/>
          <w:color w:val="auto"/>
          <w:sz w:val="32"/>
          <w:szCs w:val="32"/>
          <w:lang w:val="en-US" w:eastAsia="zh-CN"/>
        </w:rPr>
        <w:t>（以下简称</w:t>
      </w:r>
      <w:r>
        <w:rPr>
          <w:rFonts w:hint="eastAsia" w:ascii="仿宋_GB2312" w:hAnsi="仿宋_GB2312" w:eastAsia="仿宋_GB2312" w:cs="仿宋_GB2312"/>
          <w:bCs/>
          <w:color w:val="auto"/>
          <w:sz w:val="32"/>
          <w:szCs w:val="32"/>
          <w:lang w:eastAsia="zh-CN"/>
        </w:rPr>
        <w:t>铭远制药</w:t>
      </w:r>
      <w:r>
        <w:rPr>
          <w:rFonts w:hint="eastAsia" w:ascii="仿宋_GB2312" w:hAnsi="仿宋_GB2312" w:eastAsia="仿宋_GB2312" w:cs="仿宋_GB2312"/>
          <w:color w:val="auto"/>
          <w:sz w:val="32"/>
          <w:szCs w:val="32"/>
          <w:lang w:val="en-US" w:eastAsia="zh-CN"/>
        </w:rPr>
        <w:t>）生产的</w:t>
      </w:r>
      <w:r>
        <w:rPr>
          <w:rFonts w:hint="eastAsia" w:ascii="仿宋_GB2312" w:hAnsi="仿宋_GB2312" w:eastAsia="仿宋_GB2312" w:cs="仿宋_GB2312"/>
          <w:bCs/>
          <w:color w:val="auto"/>
          <w:sz w:val="32"/>
          <w:szCs w:val="32"/>
          <w:lang w:eastAsia="zh-CN"/>
        </w:rPr>
        <w:t>炒荞麦</w:t>
      </w:r>
      <w:r>
        <w:rPr>
          <w:rFonts w:hint="eastAsia" w:ascii="仿宋_GB2312" w:hAnsi="仿宋_GB2312" w:eastAsia="仿宋_GB2312" w:cs="仿宋_GB2312"/>
          <w:color w:val="auto"/>
          <w:sz w:val="32"/>
          <w:szCs w:val="32"/>
          <w:lang w:val="en-US" w:eastAsia="zh-CN"/>
        </w:rPr>
        <w:t>（批号：24040101）经监督抽检，结果为性状项目不符合</w:t>
      </w:r>
      <w:r>
        <w:rPr>
          <w:rFonts w:hint="eastAsia" w:ascii="仿宋_GB2312" w:hAnsi="仿宋_GB2312" w:eastAsia="仿宋_GB2312" w:cs="仿宋_GB2312"/>
          <w:color w:val="auto"/>
          <w:sz w:val="32"/>
          <w:szCs w:val="32"/>
          <w:lang w:eastAsia="zh-CN"/>
        </w:rPr>
        <w:t>《福建省中药饮片炮制规范》</w:t>
      </w:r>
      <w:r>
        <w:rPr>
          <w:rFonts w:hint="eastAsia" w:ascii="仿宋_GB2312" w:hAnsi="仿宋_GB2312" w:eastAsia="仿宋_GB2312" w:cs="仿宋_GB2312"/>
          <w:color w:val="auto"/>
          <w:sz w:val="32"/>
          <w:szCs w:val="32"/>
          <w:lang w:val="en-US" w:eastAsia="zh-CN"/>
        </w:rPr>
        <w:t>2012年版相关</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日，本办向</w:t>
      </w:r>
      <w:r>
        <w:rPr>
          <w:rFonts w:hint="eastAsia" w:ascii="仿宋_GB2312" w:hAnsi="仿宋_GB2312" w:eastAsia="仿宋_GB2312" w:cs="仿宋_GB2312"/>
          <w:bCs/>
          <w:color w:val="auto"/>
          <w:sz w:val="32"/>
          <w:szCs w:val="32"/>
          <w:lang w:eastAsia="zh-CN"/>
        </w:rPr>
        <w:t>铭远制药</w:t>
      </w:r>
      <w:r>
        <w:rPr>
          <w:rFonts w:hint="eastAsia" w:ascii="仿宋_GB2312" w:hAnsi="仿宋_GB2312" w:eastAsia="仿宋_GB2312" w:cs="仿宋_GB2312"/>
          <w:color w:val="auto"/>
          <w:sz w:val="32"/>
          <w:szCs w:val="32"/>
          <w:lang w:eastAsia="zh-CN"/>
        </w:rPr>
        <w:t>直接送达上述检验报告，</w:t>
      </w:r>
      <w:r>
        <w:rPr>
          <w:rFonts w:hint="eastAsia" w:ascii="仿宋_GB2312" w:hAnsi="仿宋_GB2312" w:eastAsia="仿宋_GB2312" w:cs="仿宋_GB2312"/>
          <w:color w:val="auto"/>
          <w:sz w:val="32"/>
          <w:szCs w:val="32"/>
          <w:lang w:val="en-US" w:eastAsia="zh-CN"/>
        </w:rPr>
        <w:t>7月9日开展现场核查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福建省食品药品质量检验研究院</w:t>
      </w:r>
      <w:r>
        <w:rPr>
          <w:rFonts w:hint="eastAsia" w:ascii="仿宋_GB2312" w:hAnsi="仿宋_GB2312" w:eastAsia="仿宋_GB2312" w:cs="仿宋_GB2312"/>
          <w:color w:val="auto"/>
          <w:sz w:val="32"/>
          <w:szCs w:val="32"/>
          <w:lang w:eastAsia="zh-CN"/>
        </w:rPr>
        <w:t>受理了</w:t>
      </w:r>
      <w:r>
        <w:rPr>
          <w:rFonts w:hint="eastAsia" w:ascii="仿宋_GB2312" w:hAnsi="仿宋_GB2312" w:eastAsia="仿宋_GB2312" w:cs="仿宋_GB2312"/>
          <w:bCs/>
          <w:color w:val="auto"/>
          <w:sz w:val="32"/>
          <w:szCs w:val="32"/>
          <w:lang w:eastAsia="zh-CN"/>
        </w:rPr>
        <w:t>铭远制药</w:t>
      </w:r>
      <w:r>
        <w:rPr>
          <w:rFonts w:hint="eastAsia" w:ascii="仿宋_GB2312" w:hAnsi="仿宋_GB2312" w:eastAsia="仿宋_GB2312" w:cs="仿宋_GB2312"/>
          <w:color w:val="auto"/>
          <w:sz w:val="32"/>
          <w:szCs w:val="32"/>
          <w:lang w:eastAsia="zh-CN"/>
        </w:rPr>
        <w:t>的复验申请。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日，本办收到</w:t>
      </w:r>
      <w:r>
        <w:rPr>
          <w:rFonts w:hint="eastAsia" w:ascii="仿宋_GB2312" w:hAnsi="仿宋_GB2312" w:eastAsia="仿宋_GB2312" w:cs="仿宋_GB2312"/>
          <w:color w:val="auto"/>
          <w:sz w:val="32"/>
          <w:szCs w:val="32"/>
          <w:lang w:val="en-US" w:eastAsia="zh-CN"/>
        </w:rPr>
        <w:t>福建省食品药品质量检验研究院</w:t>
      </w:r>
      <w:r>
        <w:rPr>
          <w:rFonts w:hint="eastAsia" w:ascii="仿宋_GB2312" w:hAnsi="仿宋_GB2312" w:eastAsia="仿宋_GB2312" w:cs="仿宋_GB2312"/>
          <w:color w:val="auto"/>
          <w:sz w:val="32"/>
          <w:szCs w:val="32"/>
          <w:lang w:eastAsia="zh-CN"/>
        </w:rPr>
        <w:t>《检验报</w:t>
      </w:r>
      <w:r>
        <w:rPr>
          <w:rFonts w:hint="eastAsia" w:ascii="仿宋_GB2312" w:hAnsi="仿宋_GB2312" w:eastAsia="仿宋_GB2312" w:cs="仿宋_GB2312"/>
          <w:color w:val="auto"/>
          <w:sz w:val="32"/>
          <w:szCs w:val="32"/>
          <w:lang w:val="en-US" w:eastAsia="zh-CN"/>
        </w:rPr>
        <w:t>告》（编号：2025C1285），性状项目经复验仍不符合规定。当日本</w:t>
      </w:r>
      <w:r>
        <w:rPr>
          <w:rFonts w:hint="eastAsia" w:ascii="仿宋_GB2312" w:hAnsi="仿宋_GB2312" w:eastAsia="仿宋_GB2312" w:cs="仿宋_GB2312"/>
          <w:color w:val="auto"/>
          <w:sz w:val="32"/>
          <w:szCs w:val="32"/>
          <w:lang w:eastAsia="zh-CN"/>
        </w:rPr>
        <w:t>办向</w:t>
      </w:r>
      <w:r>
        <w:rPr>
          <w:rFonts w:hint="eastAsia" w:ascii="仿宋_GB2312" w:hAnsi="仿宋_GB2312" w:eastAsia="仿宋_GB2312" w:cs="仿宋_GB2312"/>
          <w:bCs/>
          <w:color w:val="auto"/>
          <w:sz w:val="32"/>
          <w:szCs w:val="32"/>
          <w:lang w:eastAsia="zh-CN"/>
        </w:rPr>
        <w:t>铭远制药</w:t>
      </w:r>
      <w:r>
        <w:rPr>
          <w:rFonts w:hint="eastAsia" w:ascii="仿宋_GB2312" w:hAnsi="仿宋_GB2312" w:eastAsia="仿宋_GB2312" w:cs="仿宋_GB2312"/>
          <w:color w:val="auto"/>
          <w:sz w:val="32"/>
          <w:szCs w:val="32"/>
          <w:lang w:eastAsia="zh-CN"/>
        </w:rPr>
        <w:t>直接送达了复验报告。</w:t>
      </w:r>
      <w:r>
        <w:rPr>
          <w:rFonts w:hint="eastAsia" w:ascii="仿宋_GB2312" w:hAnsi="仿宋_GB2312" w:eastAsia="仿宋_GB2312" w:cs="仿宋_GB2312"/>
          <w:color w:val="auto"/>
          <w:sz w:val="32"/>
          <w:szCs w:val="32"/>
          <w:lang w:val="en-US" w:eastAsia="zh-CN"/>
        </w:rPr>
        <w:t>2025年8月25日，本办对</w:t>
      </w:r>
      <w:r>
        <w:rPr>
          <w:rFonts w:hint="eastAsia" w:ascii="仿宋_GB2312" w:hAnsi="仿宋_GB2312" w:eastAsia="仿宋_GB2312" w:cs="仿宋_GB2312"/>
          <w:bCs/>
          <w:color w:val="auto"/>
          <w:sz w:val="32"/>
          <w:szCs w:val="32"/>
          <w:lang w:eastAsia="zh-CN"/>
        </w:rPr>
        <w:t>铭远制药</w:t>
      </w:r>
      <w:r>
        <w:rPr>
          <w:rFonts w:hint="eastAsia" w:ascii="仿宋_GB2312" w:hAnsi="仿宋_GB2312" w:eastAsia="仿宋_GB2312" w:cs="仿宋_GB2312"/>
          <w:color w:val="auto"/>
          <w:sz w:val="32"/>
          <w:szCs w:val="32"/>
          <w:lang w:eastAsia="zh-CN"/>
        </w:rPr>
        <w:t>涉嫌生产劣药</w:t>
      </w:r>
      <w:r>
        <w:rPr>
          <w:rFonts w:hint="eastAsia" w:ascii="仿宋_GB2312" w:hAnsi="仿宋_GB2312" w:eastAsia="仿宋_GB2312" w:cs="仿宋_GB2312"/>
          <w:color w:val="auto"/>
          <w:sz w:val="32"/>
          <w:szCs w:val="32"/>
          <w:lang w:val="en-US" w:eastAsia="zh-CN"/>
        </w:rPr>
        <w:t>的行为进行立案调查。案件办理期间本办进行了现场核查、对相关人员询问调查、组织召开专家论证会等工作。</w:t>
      </w:r>
    </w:p>
    <w:p w14:paraId="6DC8885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经查，铭远制药于2024年4月1日向****采购</w:t>
      </w:r>
      <w:r>
        <w:rPr>
          <w:rFonts w:hint="eastAsia" w:ascii="仿宋_GB2312" w:hAnsi="仿宋_GB2312" w:eastAsia="仿宋_GB2312" w:cs="仿宋_GB2312"/>
          <w:color w:val="auto"/>
          <w:sz w:val="32"/>
          <w:szCs w:val="32"/>
          <w:lang w:val="en-US" w:eastAsia="zh-CN"/>
        </w:rPr>
        <w:t>****kg原药材荞麦，进厂检验合格后放行入库。2024年4月12日至14日，铭远制药用上述原药材荞麦生产了炒荞麦（批号：</w:t>
      </w:r>
      <w:bookmarkStart w:id="0" w:name="_GoBack"/>
      <w:bookmarkEnd w:id="0"/>
      <w:r>
        <w:rPr>
          <w:rFonts w:hint="eastAsia" w:ascii="仿宋_GB2312" w:hAnsi="仿宋_GB2312" w:eastAsia="仿宋_GB2312" w:cs="仿宋_GB2312"/>
          <w:color w:val="auto"/>
          <w:sz w:val="32"/>
          <w:szCs w:val="32"/>
          <w:lang w:val="en-US" w:eastAsia="zh-CN"/>
        </w:rPr>
        <w:t>24040101、包装规格：0.5kg/袋、生产日期：2024.04.12）****kg；经检验合格后放行入库；已销售完毕，销售金额及货值金额均为人民币****元。</w:t>
      </w:r>
    </w:p>
    <w:p w14:paraId="7BD303F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2025年6月27日，铭远制药销售的上述批次炒荞麦（批号：24040101）在****</w:t>
      </w:r>
      <w:r>
        <w:rPr>
          <w:rFonts w:hint="eastAsia" w:ascii="仿宋_GB2312" w:hAnsi="仿宋_GB2312" w:eastAsia="仿宋_GB2312" w:cs="仿宋_GB2312"/>
          <w:color w:val="auto"/>
          <w:sz w:val="32"/>
          <w:szCs w:val="32"/>
          <w:lang w:eastAsia="zh-CN"/>
        </w:rPr>
        <w:t>经监督抽检，结果为性状检验项目不符合《福建省中药饮片炮制规范》</w:t>
      </w:r>
      <w:r>
        <w:rPr>
          <w:rFonts w:hint="eastAsia" w:ascii="仿宋_GB2312" w:hAnsi="仿宋_GB2312" w:eastAsia="仿宋_GB2312" w:cs="仿宋_GB2312"/>
          <w:color w:val="auto"/>
          <w:sz w:val="32"/>
          <w:szCs w:val="32"/>
          <w:lang w:val="en-US" w:eastAsia="zh-CN"/>
        </w:rPr>
        <w:t>2012年版相关</w:t>
      </w:r>
      <w:r>
        <w:rPr>
          <w:rFonts w:hint="eastAsia" w:ascii="仿宋_GB2312" w:hAnsi="仿宋_GB2312" w:eastAsia="仿宋_GB2312" w:cs="仿宋_GB2312"/>
          <w:color w:val="auto"/>
          <w:sz w:val="32"/>
          <w:szCs w:val="32"/>
          <w:lang w:eastAsia="zh-CN"/>
        </w:rPr>
        <w:t>规定，具体内容为样品呈类球形爆花状，表面类白色，略有焦斑。种皮多沿3条纵棱开裂脱落，完整者呈三角状卵形，长4～6mm，顶端渐尖，表面棕褐色至黑色、质松、气微香、味淡。</w:t>
      </w:r>
      <w:r>
        <w:rPr>
          <w:rFonts w:hint="eastAsia" w:ascii="仿宋_GB2312" w:hAnsi="仿宋_GB2312" w:eastAsia="仿宋_GB2312" w:cs="仿宋_GB2312"/>
          <w:color w:val="auto"/>
          <w:sz w:val="32"/>
          <w:szCs w:val="32"/>
          <w:lang w:val="en-US" w:eastAsia="zh-CN"/>
        </w:rPr>
        <w:t>2025年7月4日，铭远制药对上述批次炒荞麦（批号：24040101）进行主动召回。2025年8月11日，铭远制药完成召回工作，召回数量为****kg；其向涉及的8家下游客户开具红字发票，退回相关货款****元。铭远制药在本案中的违法所得为****元。经铭远制药申请复验，福建省食品药品质量检验研究院于2025年8月19日作出检验报告，结论仍为炒荞麦（批号：24040101）性状项目不符合规定。</w:t>
      </w:r>
    </w:p>
    <w:p w14:paraId="3FBAF1EC">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日，经省局审批同意，我办组织召开专家论证会，对上述炒荞麦</w:t>
      </w:r>
      <w:r>
        <w:rPr>
          <w:rFonts w:hint="eastAsia" w:ascii="仿宋_GB2312" w:hAnsi="仿宋_GB2312" w:eastAsia="仿宋_GB2312" w:cs="仿宋_GB2312"/>
          <w:color w:val="auto"/>
          <w:sz w:val="32"/>
          <w:szCs w:val="32"/>
          <w:lang w:val="en-US" w:eastAsia="zh-CN"/>
        </w:rPr>
        <w:t>性状不符合规定</w:t>
      </w:r>
      <w:r>
        <w:rPr>
          <w:rFonts w:hint="eastAsia" w:ascii="仿宋_GB2312" w:hAnsi="仿宋_GB2312" w:eastAsia="仿宋_GB2312" w:cs="仿宋_GB2312"/>
          <w:color w:val="auto"/>
          <w:sz w:val="32"/>
          <w:szCs w:val="32"/>
          <w:lang w:eastAsia="zh-CN"/>
        </w:rPr>
        <w:t>是否影响其安全性、有效性进行研讨，与会专家经充分讨论，形成一致意见：</w:t>
      </w:r>
      <w:r>
        <w:rPr>
          <w:rFonts w:hint="default" w:ascii="仿宋_GB2312" w:hAnsi="仿宋_GB2312" w:eastAsia="仿宋_GB2312" w:cs="仿宋_GB2312"/>
          <w:color w:val="auto"/>
          <w:sz w:val="32"/>
          <w:szCs w:val="32"/>
          <w:lang w:eastAsia="zh-CN"/>
        </w:rPr>
        <w:t>虽然</w:t>
      </w:r>
      <w:r>
        <w:rPr>
          <w:rFonts w:hint="eastAsia" w:ascii="仿宋_GB2312" w:hAnsi="仿宋_GB2312" w:eastAsia="仿宋_GB2312" w:cs="仿宋_GB2312"/>
          <w:color w:val="auto"/>
          <w:sz w:val="32"/>
          <w:szCs w:val="32"/>
          <w:lang w:eastAsia="zh-CN"/>
        </w:rPr>
        <w:t>该批炒荞麦</w:t>
      </w:r>
      <w:r>
        <w:rPr>
          <w:rFonts w:hint="default" w:ascii="仿宋_GB2312" w:hAnsi="仿宋_GB2312" w:eastAsia="仿宋_GB2312" w:cs="仿宋_GB2312"/>
          <w:color w:val="auto"/>
          <w:sz w:val="32"/>
          <w:szCs w:val="32"/>
          <w:lang w:eastAsia="zh-CN"/>
        </w:rPr>
        <w:t>性状</w:t>
      </w:r>
      <w:r>
        <w:rPr>
          <w:rFonts w:hint="eastAsia" w:ascii="仿宋_GB2312" w:hAnsi="仿宋_GB2312" w:eastAsia="仿宋_GB2312" w:cs="仿宋_GB2312"/>
          <w:color w:val="auto"/>
          <w:sz w:val="32"/>
          <w:szCs w:val="32"/>
          <w:lang w:eastAsia="zh-CN"/>
        </w:rPr>
        <w:t>不符合</w:t>
      </w:r>
      <w:r>
        <w:rPr>
          <w:rFonts w:hint="default"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但综合</w:t>
      </w:r>
      <w:r>
        <w:rPr>
          <w:rFonts w:hint="eastAsia" w:ascii="仿宋_GB2312" w:hAnsi="仿宋_GB2312" w:eastAsia="仿宋_GB2312" w:cs="仿宋_GB2312"/>
          <w:color w:val="auto"/>
          <w:sz w:val="32"/>
          <w:szCs w:val="32"/>
          <w:lang w:eastAsia="zh-CN"/>
        </w:rPr>
        <w:t>分析</w:t>
      </w:r>
      <w:r>
        <w:rPr>
          <w:rFonts w:hint="default"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lang w:eastAsia="zh-CN"/>
        </w:rPr>
        <w:t>材料</w:t>
      </w:r>
      <w:r>
        <w:rPr>
          <w:rFonts w:hint="default"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lang w:eastAsia="zh-CN"/>
        </w:rPr>
        <w:t>认定其性状差异</w:t>
      </w:r>
      <w:r>
        <w:rPr>
          <w:rFonts w:hint="default" w:ascii="仿宋_GB2312" w:hAnsi="仿宋_GB2312" w:eastAsia="仿宋_GB2312" w:cs="仿宋_GB2312"/>
          <w:color w:val="auto"/>
          <w:sz w:val="32"/>
          <w:szCs w:val="32"/>
          <w:lang w:eastAsia="zh-CN"/>
        </w:rPr>
        <w:t>尚</w:t>
      </w:r>
      <w:r>
        <w:rPr>
          <w:rFonts w:hint="eastAsia" w:ascii="仿宋_GB2312" w:hAnsi="仿宋_GB2312" w:eastAsia="仿宋_GB2312" w:cs="仿宋_GB2312"/>
          <w:color w:val="auto"/>
          <w:sz w:val="32"/>
          <w:szCs w:val="32"/>
          <w:lang w:eastAsia="zh-CN"/>
        </w:rPr>
        <w:t>不影响安全性，目前尚未发现其有效性存在差异的证据。综合研判，上述抽检不合格炒荞麦</w:t>
      </w:r>
      <w:r>
        <w:rPr>
          <w:rFonts w:hint="eastAsia" w:ascii="仿宋_GB2312" w:hAnsi="仿宋_GB2312" w:eastAsia="仿宋_GB2312" w:cs="仿宋_GB2312"/>
          <w:color w:val="auto"/>
          <w:sz w:val="32"/>
          <w:szCs w:val="22"/>
          <w:lang w:val="en-US" w:eastAsia="zh-CN"/>
        </w:rPr>
        <w:t>符合《中华人民共和国药品管理法》第一百一十七条第二款的规定。</w:t>
      </w:r>
    </w:p>
    <w:p w14:paraId="30C68AB5">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2025年11月10日，本办向铭远制药送达了《行政处罚告知书》（闽药监厦稽办罚告〔2025〕019</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），告知铭远制药拟作出行政处罚内容以及事实、理由、依据，并告知其依法享有陈述、申辩和要求听证的权利。在法定期限内，铭远制药未向本办提出陈述、申辩和听证要求。</w:t>
      </w:r>
    </w:p>
    <w:p w14:paraId="7EF2239A">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认为，铭远制药生产的炒荞麦（批号：24040101）性状项目经检验不符合规定，属于《中华人民共和国药品管理法》第九十八条第三款第七项、第一百一十七条第二款规定的情形，违反了《中华人民共和国药品管理法》第九十八条第一款的规定，构成了生产劣药的违法行为。</w:t>
      </w:r>
    </w:p>
    <w:p w14:paraId="1DA98C17">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在2023年、2024年药品监督抽检工作中，铭远制药因生产劣药天麻、薤白的违法行为已被处罚（《行政处罚决定书》编号分别为：闽药监厦稽办〔2023〕1-03号、</w:t>
      </w:r>
      <w:r>
        <w:rPr>
          <w:rFonts w:ascii="Times New Roman" w:hAnsi="Times New Roman" w:eastAsia="仿宋_GB2312"/>
          <w:color w:val="auto"/>
          <w:sz w:val="32"/>
          <w:szCs w:val="32"/>
          <w:lang w:eastAsia="zh-CN"/>
        </w:rPr>
        <w:t>闽药监厦</w:t>
      </w:r>
      <w:r>
        <w:rPr>
          <w:rFonts w:hint="eastAsia" w:ascii="仿宋_GB2312" w:hAnsi="仿宋_GB2312" w:eastAsia="仿宋_GB2312" w:cs="仿宋_GB2312"/>
          <w:color w:val="auto"/>
          <w:sz w:val="32"/>
          <w:szCs w:val="32"/>
          <w:u w:val="none"/>
          <w:lang w:val="en-US" w:eastAsia="zh-CN"/>
        </w:rPr>
        <w:t>稽办处罚〔2024〕014号）</w:t>
      </w:r>
      <w:r>
        <w:rPr>
          <w:rFonts w:hint="eastAsia" w:ascii="Times New Roman" w:hAnsi="Times New Roman" w:eastAsia="仿宋_GB2312"/>
          <w:color w:val="auto"/>
          <w:sz w:val="32"/>
          <w:szCs w:val="32"/>
          <w:lang w:val="en-US" w:eastAsia="zh-CN"/>
        </w:rPr>
        <w:t>。在今年药品监督抽检工作中，</w:t>
      </w:r>
      <w:r>
        <w:rPr>
          <w:rFonts w:hint="eastAsia" w:ascii="仿宋_GB2312" w:hAnsi="仿宋_GB2312" w:eastAsia="仿宋_GB2312" w:cs="仿宋_GB2312"/>
          <w:color w:val="auto"/>
          <w:sz w:val="32"/>
          <w:szCs w:val="32"/>
          <w:u w:val="none"/>
          <w:lang w:val="en-US" w:eastAsia="zh-CN"/>
        </w:rPr>
        <w:t>铭远制药生产的涉案批次炒荞麦的检验结论为不合格，再次违反了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中华人民共和国</w:t>
      </w:r>
      <w:r>
        <w:rPr>
          <w:rFonts w:ascii="Times New Roman" w:hAnsi="Times New Roman" w:eastAsia="仿宋_GB2312"/>
          <w:color w:val="auto"/>
          <w:sz w:val="32"/>
          <w:szCs w:val="32"/>
        </w:rPr>
        <w:t>药品管理法》第九十八条第一款</w:t>
      </w:r>
      <w:r>
        <w:rPr>
          <w:rFonts w:hint="eastAsia" w:ascii="仿宋_GB2312" w:hAnsi="仿宋_GB2312" w:eastAsia="仿宋_GB2312" w:cs="仿宋_GB2312"/>
          <w:color w:val="auto"/>
          <w:sz w:val="32"/>
          <w:szCs w:val="32"/>
          <w:u w:val="none"/>
          <w:lang w:val="en-US" w:eastAsia="zh-CN"/>
        </w:rPr>
        <w:t>的规定，</w:t>
      </w:r>
      <w:r>
        <w:rPr>
          <w:rFonts w:hint="eastAsia" w:ascii="仿宋_GB2312" w:hAnsi="仿宋_GB2312" w:eastAsia="仿宋_GB2312" w:cs="仿宋_GB2312"/>
          <w:color w:val="auto"/>
          <w:sz w:val="32"/>
          <w:szCs w:val="32"/>
          <w:highlight w:val="none"/>
          <w:lang w:eastAsia="zh-CN"/>
        </w:rPr>
        <w:t>符合《</w:t>
      </w:r>
      <w:r>
        <w:rPr>
          <w:rFonts w:hint="eastAsia" w:ascii="仿宋_GB2312" w:hAnsi="仿宋_GB2312" w:eastAsia="仿宋_GB2312" w:cs="仿宋_GB2312"/>
          <w:color w:val="auto"/>
          <w:kern w:val="0"/>
          <w:sz w:val="32"/>
          <w:szCs w:val="32"/>
          <w:lang w:val="en-US" w:eastAsia="zh-CN" w:bidi="ar-SA"/>
        </w:rPr>
        <w:t>福建省药品监管行政处罚裁量适用细则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u w:val="none" w:color="auto"/>
          <w:lang w:eastAsia="zh-CN"/>
        </w:rPr>
        <w:t>第十二条第五项</w:t>
      </w:r>
      <w:r>
        <w:rPr>
          <w:rFonts w:hint="eastAsia" w:ascii="仿宋_GB2312" w:hAnsi="仿宋_GB2312" w:eastAsia="仿宋_GB2312" w:cs="仿宋_GB2312"/>
          <w:color w:val="auto"/>
          <w:sz w:val="32"/>
          <w:szCs w:val="32"/>
          <w:highlight w:val="none"/>
          <w:lang w:eastAsia="zh-CN"/>
        </w:rPr>
        <w:t>规定的</w:t>
      </w:r>
      <w:r>
        <w:rPr>
          <w:rFonts w:hint="eastAsia" w:ascii="仿宋_GB2312" w:hAnsi="仿宋_GB2312" w:eastAsia="仿宋_GB2312" w:cs="仿宋_GB2312"/>
          <w:color w:val="auto"/>
          <w:sz w:val="32"/>
          <w:szCs w:val="32"/>
          <w:highlight w:val="none"/>
          <w:lang w:val="en-US" w:eastAsia="zh-CN"/>
        </w:rPr>
        <w:t>情形</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highlight w:val="none"/>
          <w:lang w:eastAsia="zh-CN"/>
        </w:rPr>
        <w:t>应当从重处罚</w:t>
      </w:r>
      <w:r>
        <w:rPr>
          <w:rFonts w:hint="eastAsia" w:ascii="仿宋_GB2312" w:hAnsi="仿宋_GB2312" w:eastAsia="仿宋_GB2312" w:cs="仿宋_GB2312"/>
          <w:color w:val="auto"/>
          <w:kern w:val="0"/>
          <w:sz w:val="32"/>
          <w:szCs w:val="32"/>
          <w:lang w:val="en-US" w:eastAsia="zh-CN" w:bidi="ar-SA"/>
        </w:rPr>
        <w:t>。此外，</w:t>
      </w:r>
      <w:r>
        <w:rPr>
          <w:rFonts w:hint="eastAsia" w:ascii="仿宋_GB2312" w:hAnsi="仿宋_GB2312" w:eastAsia="仿宋_GB2312" w:cs="仿宋_GB2312"/>
          <w:color w:val="auto"/>
          <w:sz w:val="32"/>
          <w:szCs w:val="32"/>
          <w:lang w:val="en-US" w:eastAsia="zh-CN"/>
        </w:rPr>
        <w:t>铭远制药</w:t>
      </w:r>
      <w:r>
        <w:rPr>
          <w:rFonts w:hint="eastAsia" w:ascii="仿宋_GB2312" w:hAnsi="仿宋_GB2312" w:eastAsia="仿宋_GB2312" w:cs="仿宋_GB2312"/>
          <w:color w:val="auto"/>
          <w:sz w:val="32"/>
          <w:szCs w:val="32"/>
          <w:highlight w:val="none"/>
          <w:lang w:val="en-US" w:eastAsia="zh-CN"/>
        </w:rPr>
        <w:t>在调查取证阶段积极配合调查，如实陈述违法事实，主动提供相应证据材料，且在收到不合格报告后及时开展召回工作，分别符合《福建省药品监管行政处罚裁量适用细则》第十一条第一款第二项、第十项的规定，可以从轻或减轻处罚。</w:t>
      </w:r>
      <w:r>
        <w:rPr>
          <w:rFonts w:hint="eastAsia" w:ascii="仿宋_GB2312" w:hAnsi="仿宋_GB2312" w:eastAsia="仿宋_GB2312" w:cs="仿宋_GB2312"/>
          <w:color w:val="auto"/>
          <w:sz w:val="32"/>
          <w:szCs w:val="32"/>
          <w:lang w:val="en-US" w:eastAsia="zh-CN"/>
        </w:rPr>
        <w:t>综合全案的事实、性质和裁量情节，本办决定按从重行政处罚等级进行量罚。</w:t>
      </w:r>
    </w:p>
    <w:p w14:paraId="6EBC8FA5">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依据《中华人民共和国行政处罚法》第二十八条第二款、《中华人民共和国药品管理法》第一百一十七条第二款的规定，现责令</w:t>
      </w:r>
      <w:r>
        <w:rPr>
          <w:rFonts w:hint="eastAsia" w:ascii="仿宋_GB2312" w:hAnsi="仿宋_GB2312" w:eastAsia="仿宋_GB2312" w:cs="仿宋_GB2312"/>
          <w:color w:val="auto"/>
          <w:sz w:val="32"/>
          <w:szCs w:val="32"/>
          <w:u w:val="none"/>
          <w:lang w:val="en-US" w:eastAsia="zh-CN"/>
        </w:rPr>
        <w:t>铭远制药</w:t>
      </w:r>
      <w:r>
        <w:rPr>
          <w:rFonts w:hint="eastAsia" w:ascii="仿宋_GB2312" w:hAnsi="仿宋_GB2312" w:eastAsia="仿宋_GB2312" w:cs="仿宋_GB2312"/>
          <w:color w:val="auto"/>
          <w:sz w:val="32"/>
          <w:szCs w:val="32"/>
          <w:lang w:val="en-US" w:eastAsia="zh-CN"/>
        </w:rPr>
        <w:t xml:space="preserve">限期10日改正上述违法行为，并给予如下行政处罚： </w:t>
      </w:r>
    </w:p>
    <w:p w14:paraId="61B0C3E8">
      <w:pPr>
        <w:keepNext w:val="0"/>
        <w:keepLines w:val="0"/>
        <w:pageBreakBefore w:val="0"/>
        <w:widowControl w:val="0"/>
        <w:numPr>
          <w:ilvl w:val="0"/>
          <w:numId w:val="0"/>
        </w:numPr>
        <w:tabs>
          <w:tab w:val="left" w:pos="2440"/>
          <w:tab w:val="left" w:pos="8964"/>
        </w:tabs>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（一）警告</w:t>
      </w:r>
      <w:r>
        <w:rPr>
          <w:rFonts w:hint="eastAsia" w:ascii="仿宋_GB2312" w:hAnsi="仿宋_GB2312" w:eastAsia="仿宋_GB2312" w:cs="仿宋_GB2312"/>
          <w:color w:val="auto"/>
          <w:sz w:val="32"/>
          <w:szCs w:val="32"/>
        </w:rPr>
        <w:t>；</w:t>
      </w:r>
    </w:p>
    <w:p w14:paraId="61A87469">
      <w:pPr>
        <w:keepNext w:val="0"/>
        <w:keepLines w:val="0"/>
        <w:pageBreakBefore w:val="0"/>
        <w:widowControl w:val="0"/>
        <w:tabs>
          <w:tab w:val="left" w:pos="2440"/>
          <w:tab w:val="left" w:pos="8964"/>
        </w:tabs>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val="0"/>
          <w:color w:val="auto"/>
          <w:sz w:val="32"/>
          <w:szCs w:val="32"/>
        </w:rPr>
        <w:t>（</w:t>
      </w:r>
      <w:r>
        <w:rPr>
          <w:rFonts w:hint="eastAsia" w:ascii="仿宋_GB2312" w:hAnsi="仿宋_GB2312" w:eastAsia="仿宋_GB2312" w:cs="仿宋_GB2312"/>
          <w:bCs w:val="0"/>
          <w:color w:val="auto"/>
          <w:sz w:val="32"/>
          <w:szCs w:val="32"/>
          <w:lang w:eastAsia="zh-CN"/>
        </w:rPr>
        <w:t>二</w:t>
      </w:r>
      <w:r>
        <w:rPr>
          <w:rFonts w:hint="eastAsia" w:ascii="仿宋_GB2312" w:hAnsi="仿宋_GB2312" w:eastAsia="仿宋_GB2312" w:cs="仿宋_GB2312"/>
          <w:bCs w:val="0"/>
          <w:color w:val="auto"/>
          <w:sz w:val="32"/>
          <w:szCs w:val="32"/>
        </w:rPr>
        <w:t>）没收违法</w:t>
      </w:r>
      <w:r>
        <w:rPr>
          <w:rFonts w:hint="eastAsia" w:ascii="仿宋_GB2312" w:hAnsi="仿宋_GB2312" w:eastAsia="仿宋_GB2312" w:cs="仿宋_GB2312"/>
          <w:color w:val="auto"/>
          <w:sz w:val="32"/>
          <w:szCs w:val="32"/>
          <w:lang w:eastAsia="zh-CN"/>
        </w:rPr>
        <w:t>所得</w:t>
      </w:r>
      <w:r>
        <w:rPr>
          <w:rFonts w:hint="eastAsia" w:ascii="仿宋_GB2312" w:hAnsi="仿宋_GB2312" w:eastAsia="仿宋_GB2312" w:cs="仿宋_GB2312"/>
          <w:color w:val="auto"/>
          <w:sz w:val="32"/>
          <w:szCs w:val="32"/>
          <w:lang w:val="en-US" w:eastAsia="zh-CN"/>
        </w:rPr>
        <w:t>10110.71</w:t>
      </w:r>
      <w:r>
        <w:rPr>
          <w:rFonts w:hint="eastAsia" w:ascii="仿宋_GB2312" w:hAnsi="仿宋_GB2312" w:eastAsia="仿宋_GB2312" w:cs="仿宋_GB2312"/>
          <w:color w:val="auto"/>
          <w:sz w:val="32"/>
          <w:szCs w:val="32"/>
          <w:lang w:eastAsia="zh-CN"/>
        </w:rPr>
        <w:t>元;</w:t>
      </w:r>
    </w:p>
    <w:p w14:paraId="6904C645">
      <w:pPr>
        <w:keepNext w:val="0"/>
        <w:keepLines w:val="0"/>
        <w:pageBreakBefore w:val="0"/>
        <w:widowControl w:val="0"/>
        <w:tabs>
          <w:tab w:val="left" w:pos="2440"/>
          <w:tab w:val="left" w:pos="8964"/>
        </w:tabs>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val="en-US" w:eastAsia="zh-CN"/>
        </w:rPr>
        <w:t>46万</w:t>
      </w:r>
      <w:r>
        <w:rPr>
          <w:rFonts w:hint="eastAsia" w:ascii="仿宋_GB2312" w:hAnsi="仿宋_GB2312" w:eastAsia="仿宋_GB2312" w:cs="仿宋_GB2312"/>
          <w:bCs w:val="0"/>
          <w:color w:val="auto"/>
          <w:sz w:val="32"/>
          <w:szCs w:val="32"/>
          <w:highlight w:val="none"/>
        </w:rPr>
        <w:t>元</w:t>
      </w:r>
      <w:r>
        <w:rPr>
          <w:rFonts w:hint="eastAsia" w:ascii="仿宋_GB2312" w:hAnsi="仿宋_GB2312" w:eastAsia="仿宋_GB2312" w:cs="仿宋_GB2312"/>
          <w:color w:val="auto"/>
          <w:sz w:val="32"/>
          <w:szCs w:val="32"/>
          <w:highlight w:val="none"/>
        </w:rPr>
        <w:t>。</w:t>
      </w:r>
    </w:p>
    <w:p w14:paraId="320C0426">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val="0"/>
          <w:color w:val="auto"/>
          <w:sz w:val="32"/>
          <w:szCs w:val="32"/>
        </w:rPr>
        <w:t>以上罚没款合计</w:t>
      </w:r>
      <w:r>
        <w:rPr>
          <w:rFonts w:hint="eastAsia" w:ascii="仿宋_GB2312" w:hAnsi="仿宋_GB2312" w:eastAsia="仿宋_GB2312" w:cs="仿宋_GB2312"/>
          <w:bCs w:val="0"/>
          <w:color w:val="auto"/>
          <w:sz w:val="32"/>
          <w:szCs w:val="32"/>
          <w:lang w:val="en-US" w:eastAsia="zh-CN"/>
        </w:rPr>
        <w:t>470110.71</w:t>
      </w:r>
      <w:r>
        <w:rPr>
          <w:rFonts w:hint="eastAsia" w:ascii="仿宋_GB2312" w:hAnsi="仿宋_GB2312" w:eastAsia="仿宋_GB2312" w:cs="仿宋_GB2312"/>
          <w:bCs w:val="0"/>
          <w:color w:val="auto"/>
          <w:sz w:val="32"/>
          <w:szCs w:val="32"/>
        </w:rPr>
        <w:t>元（</w:t>
      </w:r>
      <w:r>
        <w:rPr>
          <w:rFonts w:hint="eastAsia" w:ascii="仿宋_GB2312" w:hAnsi="仿宋_GB2312" w:eastAsia="仿宋_GB2312" w:cs="仿宋_GB2312"/>
          <w:bCs w:val="0"/>
          <w:color w:val="auto"/>
          <w:sz w:val="32"/>
          <w:szCs w:val="32"/>
          <w:lang w:val="en-US" w:eastAsia="zh-CN"/>
        </w:rPr>
        <w:t>肆拾柒万零壹佰壹拾元柒角壹分</w:t>
      </w:r>
      <w:r>
        <w:rPr>
          <w:rFonts w:hint="eastAsia" w:ascii="仿宋_GB2312" w:hAnsi="仿宋_GB2312" w:eastAsia="仿宋_GB2312" w:cs="仿宋_GB2312"/>
          <w:bCs w:val="0"/>
          <w:color w:val="auto"/>
          <w:sz w:val="32"/>
          <w:szCs w:val="32"/>
        </w:rPr>
        <w:t>）。</w:t>
      </w:r>
    </w:p>
    <w:p w14:paraId="51C25B6E">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事人应自接到本行政处罚决定之日起15日内缴纳上述罚没款。根据本办开具的行政处罚缴款通知书，当事人自行选择缴款方式。逾期不缴纳罚款的，依据《中华人民共和国行政处罚法》第七十二条的规定，本办将每日按罚款数额的百分之三加处罚款，并依法申请人民法院强制执行。 </w:t>
      </w:r>
    </w:p>
    <w:p w14:paraId="646A0809">
      <w:pPr>
        <w:keepLines w:val="0"/>
        <w:pageBreakBefore w:val="0"/>
        <w:tabs>
          <w:tab w:val="left" w:pos="2440"/>
          <w:tab w:val="left" w:pos="8964"/>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如不服本行政处罚决定，可以在收到本行政处罚决定书之日起六十日内向福建省人民政府申请行政复议；也可以在六个月内依法向厦门市思明区人民法院提起行政诉讼。申请行政复议或者提起行政诉讼期间，行政处罚不停止执行。</w:t>
      </w:r>
    </w:p>
    <w:p w14:paraId="43F52D7F">
      <w:pPr>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371925AE">
      <w:pPr>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sz w:val="32"/>
          <w:szCs w:val="32"/>
        </w:rPr>
      </w:pPr>
    </w:p>
    <w:p w14:paraId="7F283129">
      <w:pPr>
        <w:keepLines w:val="0"/>
        <w:pageBreakBefore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 w:hAnsi="仿宋" w:eastAsia="仿宋_GB2312" w:cs="仿宋"/>
          <w:color w:val="auto"/>
          <w:sz w:val="32"/>
          <w:szCs w:val="32"/>
          <w:lang w:eastAsia="zh-CN"/>
        </w:rPr>
      </w:pPr>
      <w:r>
        <w:rPr>
          <w:rFonts w:hint="eastAsia" w:ascii="Times New Roman" w:hAnsi="Times New Roman" w:eastAsia="仿宋_GB2312" w:cs="仿宋"/>
          <w:color w:val="auto"/>
          <w:sz w:val="32"/>
          <w:szCs w:val="32"/>
        </w:rPr>
        <w:t>福建省药品监督管理局</w:t>
      </w:r>
      <w:r>
        <w:rPr>
          <w:rFonts w:hint="eastAsia" w:ascii="Times New Roman" w:hAnsi="Times New Roman" w:eastAsia="仿宋_GB2312" w:cs="仿宋"/>
          <w:color w:val="auto"/>
          <w:sz w:val="32"/>
          <w:szCs w:val="32"/>
          <w:lang w:eastAsia="zh-CN"/>
        </w:rPr>
        <w:t>厦门药品稽查办公室</w:t>
      </w:r>
    </w:p>
    <w:p w14:paraId="21239DE0">
      <w:pPr>
        <w:keepLines w:val="0"/>
        <w:pageBreakBefore w:val="0"/>
        <w:kinsoku/>
        <w:wordWrap/>
        <w:overflowPunct/>
        <w:topLinePunct w:val="0"/>
        <w:autoSpaceDE/>
        <w:autoSpaceDN/>
        <w:bidi w:val="0"/>
        <w:adjustRightInd w:val="0"/>
        <w:snapToGrid w:val="0"/>
        <w:spacing w:line="540" w:lineRule="exact"/>
        <w:ind w:firstLine="4160" w:firstLineChars="13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 xml:space="preserve">日 </w:t>
      </w:r>
    </w:p>
    <w:p w14:paraId="6CEC63C2">
      <w:pPr>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sz w:val="32"/>
          <w:szCs w:val="32"/>
        </w:rPr>
      </w:pPr>
    </w:p>
    <w:p w14:paraId="3DD23644">
      <w:pPr>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sz w:val="32"/>
          <w:szCs w:val="32"/>
        </w:rPr>
      </w:pPr>
    </w:p>
    <w:p w14:paraId="4703F70A">
      <w:pPr>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kern w:val="0"/>
          <w:sz w:val="30"/>
          <w:szCs w:val="30"/>
        </w:rPr>
      </w:pPr>
      <w:r>
        <w:rPr>
          <w:rFonts w:hint="eastAsia" w:ascii="黑体" w:hAnsi="黑体" w:eastAsia="黑体" w:cs="黑体"/>
          <w:color w:val="auto"/>
          <w:kern w:val="0"/>
          <w:sz w:val="30"/>
          <w:szCs w:val="30"/>
        </w:rPr>
        <w:t>(药品监督管理部门将依法向社会公示本行政处罚决定信息)</w:t>
      </w:r>
    </w:p>
    <w:p w14:paraId="045F5D5B">
      <w:pPr>
        <w:keepLines w:val="0"/>
        <w:pageBreakBefore w:val="0"/>
        <w:kinsoku/>
        <w:wordWrap/>
        <w:overflowPunct/>
        <w:topLinePunct w:val="0"/>
        <w:autoSpaceDE/>
        <w:autoSpaceDN/>
        <w:bidi w:val="0"/>
        <w:spacing w:line="540" w:lineRule="exact"/>
        <w:jc w:val="both"/>
        <w:textAlignment w:val="auto"/>
        <w:rPr>
          <w:rFonts w:hint="eastAsia" w:ascii="华文仿宋" w:hAnsi="华文仿宋" w:eastAsia="华文仿宋"/>
          <w:color w:val="auto"/>
          <w:kern w:val="0"/>
          <w:sz w:val="32"/>
          <w:szCs w:val="32"/>
        </w:rPr>
      </w:pPr>
      <w:r>
        <w:rPr>
          <w:color w:val="auto"/>
          <w:kern w:val="0"/>
          <w:sz w:val="32"/>
          <w:szCs w:val="2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29210</wp:posOffset>
                </wp:positionV>
                <wp:extent cx="5681345" cy="8890"/>
                <wp:effectExtent l="0" t="0" r="0" b="0"/>
                <wp:wrapNone/>
                <wp:docPr id="3" name="直接连接符 3"/>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25pt;margin-top:2.3pt;height:0.7pt;width:447.35pt;z-index:251660288;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tBvw4CAADtAwAADgAAAGRycy9lMm9Eb2MueG1srVO9btsw&#10;EN4L9B0I7rVkO/4TLGeIkS5Fa6Bpd4YiLQL8A4+x7JfoCxTo1k4du+dtmj5Gj5QauOmSoRqIO93x&#10;u/s+fVpfHo0mBxFAOVvT8aikRFjuGmX3Nf1wc/1qSQlEZhumnRU1PQmgl5uXL9adr8TEtU43IhAE&#10;sVB1vqZtjL4qCuCtMAxGzguLRemCYRHTsC+awDpEN7qYlOW86FxofHBcAODbbV+kA2J4DqCTUnGx&#10;dfzOCBt71CA0i0gJWuWBbvK2Ugoe30kJIhJdU2Qa84lDML5NZ7FZs2ofmG8VH1Zgz1nhCSfDlMWh&#10;j1BbFhm5C+ofKKN4cOBkHHFnip5IVgRZjMsn2rxvmReZC0oN/lF0+H+w/O1hF4hqajqlxDKDH/zh&#10;84+fn77+uv+C58P3b2SaROo8VNh7ZXdhyMDvQmJ8lMEQqZX/iG7KGiArcsSkXC0mSxT6VNPFfDGd&#10;Xgxyi2MkHBtm8+V4ejGjhGPHcrnK5aJHTMg+QHwtnCEpqKlWNonBKnZ4AxG3wNY/Lem1dddK6/xB&#10;tSUdLrAqZzieM3SpRHdgaDwyBbunhOk92p/HkCHBadWk6wkITnClAzkw9Awat3HdDa5MiWYQsYC2&#10;yU+SBVf462raZ8ug7S/nUm8xoyL+NVoZZHp+W9s0UWSnDqyS1L24Kbp1zSlrXqQMXZCHDo5NNjvP&#10;MT7/Sz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XU4bVAAAABgEAAA8AAAAAAAAAAQAgAAAA&#10;IgAAAGRycy9kb3ducmV2LnhtbFBLAQIUABQAAAAIAIdO4kD/+0G/DgIAAO0DAAAOAAAAAAAAAAEA&#10;IAAAACQBAABkcnMvZTJvRG9jLnhtbFBLBQYAAAAABgAGAFkBAACkBQAAAAA=&#10;">
                <v:fill on="f" focussize="0,0"/>
                <v:stroke weight="1.5pt" color="#000000" miterlimit="8" joinstyle="miter"/>
                <v:imagedata o:title=""/>
                <o:lock v:ext="edit" aspectratio="f"/>
              </v:line>
            </w:pict>
          </mc:Fallback>
        </mc:AlternateContent>
      </w:r>
      <w:r>
        <w:rPr>
          <w:rFonts w:ascii="Times New Roman" w:hAnsi="Times New Roman" w:eastAsia="仿宋_GB2312" w:cs="仿宋"/>
          <w:bCs/>
          <w:color w:val="auto"/>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zT34Z9QEAAOcDAAAOAAAAZHJzL2Uyb0RvYy54bWytU72O&#10;EzEQ7pF4B8s92STc5WCVzRUXjgZBJOABJrY3a8l/eHzZ5CV4ASQ6qCiv5204HoOxN4TjaFKwhXfG&#10;M/5mvs/j+eXOGrZVEbV3DZ+MxpwpJ7zUbtPw9++unzzjDBM4CcY71fC9Qn65ePxo3odaTX3njVSR&#10;EYjDug8N71IKdVWh6JQFHPmgHAVbHy0kcuOmkhF6Qremmo7Hs6r3UYbohUKk3eUQ5AfEeAqgb1st&#10;1NKLG6tcGlCjMpCIEnY6IF+UbttWifSmbVElZhpOTFNZqQjZ67xWiznUmwih0+LQApzSwgNOFrSj&#10;okeoJSRgN1H/A2W1iB59m0bC22ogUhQhFpPxA23edhBU4UJSYziKjv8PVrzeriLTsuFnnDmwdOF3&#10;n25/fPzy8/tnWu++fWVnWaQ+YE25V24VDx6GVcyMd220+U9c2K4Iuz8Kq3aJCdo8v5hNZ9NzzgTF&#10;JtOLonv152yImF4qb1k2Gm60y7Shhu0rTFSPUn+n5G3jWN/w509ndIsCaAbxAxk2EAt0m3ISvdHy&#10;WhuT8zFu1lcmsi3kKShf5kSof6XlEkvAbsgroWE+OgXyhZMs7QPp4+hZ8NyAVZIzo+gVZYsAoU6g&#10;zSmZVNq4fECVGT2wzCIPsmZr7eW+qF1lj+6/dHyY1Txg932y77/P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M09+Gf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kern w:val="0"/>
          <w:sz w:val="32"/>
          <w:szCs w:val="32"/>
        </w:rPr>
        <w:t>本文书一式</w:t>
      </w:r>
      <w:r>
        <w:rPr>
          <w:rFonts w:hint="eastAsia" w:ascii="Times New Roman" w:hAnsi="Times New Roman" w:eastAsia="仿宋_GB2312" w:cs="仿宋"/>
          <w:color w:val="auto"/>
          <w:kern w:val="0"/>
          <w:sz w:val="32"/>
          <w:szCs w:val="32"/>
          <w:u w:val="single"/>
        </w:rPr>
        <w:t xml:space="preserve"> 二 </w:t>
      </w:r>
      <w:r>
        <w:rPr>
          <w:rFonts w:hint="eastAsia" w:ascii="Times New Roman" w:hAnsi="Times New Roman" w:eastAsia="仿宋_GB2312" w:cs="仿宋"/>
          <w:color w:val="auto"/>
          <w:kern w:val="0"/>
          <w:sz w:val="32"/>
          <w:szCs w:val="32"/>
        </w:rPr>
        <w:t>份，</w:t>
      </w:r>
      <w:r>
        <w:rPr>
          <w:rFonts w:hint="eastAsia" w:ascii="Times New Roman" w:hAnsi="Times New Roman" w:eastAsia="仿宋_GB2312" w:cs="仿宋"/>
          <w:color w:val="auto"/>
          <w:kern w:val="0"/>
          <w:sz w:val="32"/>
          <w:szCs w:val="32"/>
          <w:u w:val="single"/>
        </w:rPr>
        <w:t>一</w:t>
      </w:r>
      <w:r>
        <w:rPr>
          <w:rFonts w:hint="eastAsia" w:ascii="Times New Roman" w:hAnsi="Times New Roman" w:eastAsia="仿宋_GB2312" w:cs="仿宋"/>
          <w:color w:val="auto"/>
          <w:kern w:val="0"/>
          <w:sz w:val="32"/>
          <w:szCs w:val="32"/>
        </w:rPr>
        <w:t>份送达，</w:t>
      </w:r>
      <w:r>
        <w:rPr>
          <w:rFonts w:hint="eastAsia" w:ascii="Times New Roman" w:hAnsi="Times New Roman" w:eastAsia="仿宋_GB2312" w:cs="仿宋"/>
          <w:color w:val="auto"/>
          <w:kern w:val="0"/>
          <w:sz w:val="32"/>
          <w:szCs w:val="32"/>
          <w:u w:val="single"/>
        </w:rPr>
        <w:t>一</w:t>
      </w:r>
      <w:r>
        <w:rPr>
          <w:rFonts w:hint="eastAsia" w:ascii="Times New Roman" w:hAnsi="Times New Roman" w:eastAsia="仿宋_GB2312" w:cs="仿宋"/>
          <w:color w:val="auto"/>
          <w:kern w:val="0"/>
          <w:sz w:val="32"/>
          <w:szCs w:val="32"/>
        </w:rPr>
        <w:t>份归档。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411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9897F">
                          <w:pPr>
                            <w:pStyle w:val="4"/>
                            <w:rPr>
                              <w:rFonts w:hint="eastAsia" w:ascii="楷体" w:hAnsi="楷体" w:eastAsia="楷体" w:cs="楷体"/>
                              <w:sz w:val="24"/>
                              <w:szCs w:val="24"/>
                            </w:rPr>
                          </w:pPr>
                          <w:r>
                            <w:rPr>
                              <w:rFonts w:hint="eastAsia" w:ascii="楷体" w:hAnsi="楷体" w:eastAsia="楷体" w:cs="楷体"/>
                              <w:sz w:val="24"/>
                              <w:szCs w:val="24"/>
                            </w:rPr>
                            <w:t xml:space="preserve">第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rPr>
                            <w:t xml:space="preserve"> 页 共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NUMPAGES  \* MERGEFORMAT </w:instrText>
                          </w:r>
                          <w:r>
                            <w:rPr>
                              <w:rFonts w:hint="eastAsia" w:ascii="楷体" w:hAnsi="楷体" w:eastAsia="楷体" w:cs="楷体"/>
                              <w:sz w:val="24"/>
                              <w:szCs w:val="24"/>
                            </w:rPr>
                            <w:fldChar w:fldCharType="separate"/>
                          </w:r>
                          <w:r>
                            <w:rPr>
                              <w:rFonts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D9897F">
                    <w:pPr>
                      <w:pStyle w:val="4"/>
                      <w:rPr>
                        <w:rFonts w:hint="eastAsia" w:ascii="楷体" w:hAnsi="楷体" w:eastAsia="楷体" w:cs="楷体"/>
                        <w:sz w:val="24"/>
                        <w:szCs w:val="24"/>
                      </w:rPr>
                    </w:pPr>
                    <w:r>
                      <w:rPr>
                        <w:rFonts w:hint="eastAsia" w:ascii="楷体" w:hAnsi="楷体" w:eastAsia="楷体" w:cs="楷体"/>
                        <w:sz w:val="24"/>
                        <w:szCs w:val="24"/>
                      </w:rPr>
                      <w:t xml:space="preserve">第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rPr>
                      <w:t xml:space="preserve"> 页 共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NUMPAGES  \* MERGEFORMAT </w:instrText>
                    </w:r>
                    <w:r>
                      <w:rPr>
                        <w:rFonts w:hint="eastAsia" w:ascii="楷体" w:hAnsi="楷体" w:eastAsia="楷体" w:cs="楷体"/>
                        <w:sz w:val="24"/>
                        <w:szCs w:val="24"/>
                      </w:rPr>
                      <w:fldChar w:fldCharType="separate"/>
                    </w:r>
                    <w:r>
                      <w:rPr>
                        <w:rFonts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E5AF2"/>
    <w:multiLevelType w:val="multilevel"/>
    <w:tmpl w:val="052E5AF2"/>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2NDc0ZTdlY2Q3ZmIyNjY4ZDNmMDJiZjUzZWI3ZDEifQ=="/>
  </w:docVars>
  <w:rsids>
    <w:rsidRoot w:val="0002063B"/>
    <w:rsid w:val="0002063B"/>
    <w:rsid w:val="00062CAA"/>
    <w:rsid w:val="00097132"/>
    <w:rsid w:val="000B736D"/>
    <w:rsid w:val="000F19EE"/>
    <w:rsid w:val="001B7A90"/>
    <w:rsid w:val="001C7F82"/>
    <w:rsid w:val="00264DC4"/>
    <w:rsid w:val="002B1B79"/>
    <w:rsid w:val="003A2149"/>
    <w:rsid w:val="004018FE"/>
    <w:rsid w:val="00414227"/>
    <w:rsid w:val="00451A1C"/>
    <w:rsid w:val="004B253C"/>
    <w:rsid w:val="0051340F"/>
    <w:rsid w:val="00514BBF"/>
    <w:rsid w:val="005471BC"/>
    <w:rsid w:val="005A545E"/>
    <w:rsid w:val="005D23BD"/>
    <w:rsid w:val="005F33B0"/>
    <w:rsid w:val="00614906"/>
    <w:rsid w:val="006313F9"/>
    <w:rsid w:val="00652143"/>
    <w:rsid w:val="00660397"/>
    <w:rsid w:val="0071511F"/>
    <w:rsid w:val="00754926"/>
    <w:rsid w:val="00790DEA"/>
    <w:rsid w:val="007D22F2"/>
    <w:rsid w:val="007F0305"/>
    <w:rsid w:val="0089245D"/>
    <w:rsid w:val="008A7AC3"/>
    <w:rsid w:val="008B2664"/>
    <w:rsid w:val="008E6D45"/>
    <w:rsid w:val="0092727E"/>
    <w:rsid w:val="00971BBF"/>
    <w:rsid w:val="009A551C"/>
    <w:rsid w:val="009B1D01"/>
    <w:rsid w:val="009D08A0"/>
    <w:rsid w:val="009E1136"/>
    <w:rsid w:val="00A04786"/>
    <w:rsid w:val="00A309FE"/>
    <w:rsid w:val="00AD06FB"/>
    <w:rsid w:val="00C01643"/>
    <w:rsid w:val="00C2787F"/>
    <w:rsid w:val="00C33120"/>
    <w:rsid w:val="00C87535"/>
    <w:rsid w:val="00CF67D9"/>
    <w:rsid w:val="00EB6CC0"/>
    <w:rsid w:val="00FA71EB"/>
    <w:rsid w:val="010D7B9D"/>
    <w:rsid w:val="0DCD42BD"/>
    <w:rsid w:val="2F7F31B8"/>
    <w:rsid w:val="2FF57C43"/>
    <w:rsid w:val="30BC4C26"/>
    <w:rsid w:val="38C210B2"/>
    <w:rsid w:val="39393B75"/>
    <w:rsid w:val="3D5357FC"/>
    <w:rsid w:val="3EED471C"/>
    <w:rsid w:val="3F37A1F0"/>
    <w:rsid w:val="4BAF5BE4"/>
    <w:rsid w:val="4EDE48D4"/>
    <w:rsid w:val="5261FF9D"/>
    <w:rsid w:val="53BB094D"/>
    <w:rsid w:val="54BFCFD9"/>
    <w:rsid w:val="5C8E98A3"/>
    <w:rsid w:val="5CAF070E"/>
    <w:rsid w:val="5DCB1D21"/>
    <w:rsid w:val="5FE25415"/>
    <w:rsid w:val="5FF3D84E"/>
    <w:rsid w:val="64454CD9"/>
    <w:rsid w:val="6BFFAF98"/>
    <w:rsid w:val="6DF4F3FD"/>
    <w:rsid w:val="6DF60092"/>
    <w:rsid w:val="6E837EF4"/>
    <w:rsid w:val="75E32BA3"/>
    <w:rsid w:val="77676B91"/>
    <w:rsid w:val="779C1F3A"/>
    <w:rsid w:val="7E3BB5BB"/>
    <w:rsid w:val="7EBC43CF"/>
    <w:rsid w:val="7EDFFDDD"/>
    <w:rsid w:val="7F7E19A6"/>
    <w:rsid w:val="7FDDFF15"/>
    <w:rsid w:val="7FFDA996"/>
    <w:rsid w:val="86DF94F6"/>
    <w:rsid w:val="A9FFDE51"/>
    <w:rsid w:val="AEFA78BE"/>
    <w:rsid w:val="B7EDFFE5"/>
    <w:rsid w:val="BB3EFEE0"/>
    <w:rsid w:val="C37A408D"/>
    <w:rsid w:val="EB1DB949"/>
    <w:rsid w:val="EFF8D819"/>
    <w:rsid w:val="FEFF1501"/>
    <w:rsid w:val="FF778323"/>
    <w:rsid w:val="FF7D8325"/>
    <w:rsid w:val="FFF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ind w:left="220"/>
      <w:jc w:val="left"/>
    </w:pPr>
    <w:rPr>
      <w:rFonts w:ascii="宋体" w:hAnsi="宋体"/>
      <w:kern w:val="0"/>
      <w:sz w:val="32"/>
      <w:szCs w:val="32"/>
      <w:lang w:eastAsia="en-US"/>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0"/>
    <w:rPr>
      <w:rFonts w:ascii="Times New Roman" w:hAnsi="Times New Roman" w:eastAsia="宋体" w:cs="Mangal"/>
      <w:color w:val="00000A"/>
      <w:sz w:val="24"/>
      <w:szCs w:val="24"/>
      <w:lang w:val="zh-CN" w:bidi="hi-IN"/>
    </w:rPr>
  </w:style>
  <w:style w:type="character" w:customStyle="1" w:styleId="12">
    <w:name w:val="正文文本 字符"/>
    <w:basedOn w:val="8"/>
    <w:link w:val="3"/>
    <w:qFormat/>
    <w:uiPriority w:val="0"/>
    <w:rPr>
      <w:rFonts w:ascii="宋体" w:hAnsi="宋体" w:eastAsia="宋体" w:cs="Times New Roman"/>
      <w:kern w:val="0"/>
      <w:sz w:val="32"/>
      <w:szCs w:val="32"/>
      <w:lang w:eastAsia="en-US"/>
    </w:rPr>
  </w:style>
  <w:style w:type="paragraph" w:customStyle="1" w:styleId="13">
    <w:name w:val="正文文本1"/>
    <w:basedOn w:val="1"/>
    <w:qFormat/>
    <w:uiPriority w:val="0"/>
    <w:pPr>
      <w:ind w:left="122"/>
    </w:pPr>
    <w:rPr>
      <w:rFonts w:ascii="宋体" w:hAnsi="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1151</Words>
  <Characters>1334</Characters>
  <Lines>20</Lines>
  <Paragraphs>5</Paragraphs>
  <TotalTime>12</TotalTime>
  <ScaleCrop>false</ScaleCrop>
  <LinksUpToDate>false</LinksUpToDate>
  <CharactersWithSpaces>1387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2023-01-01T16:41:00Z</dcterms:created>
  <dc:creator>wang lichao</dc:creator>
  <cp:lastModifiedBy>WPS_1336964195</cp:lastModifiedBy>
  <cp:lastPrinted>2025-12-09T10:07:00Z</cp:lastPrinted>
  <dcterms:modified xsi:type="dcterms:W3CDTF">2025-12-10T02:46:18Z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C54E8406F4DA7CF763EDD4680EEE666A</vt:lpwstr>
  </property>
  <property fmtid="{D5CDD505-2E9C-101B-9397-08002B2CF9AE}" pid="4" name="KSOTemplateDocerSaveRecord">
    <vt:lpwstr>eyJoZGlkIjoiYWM4NWY4MzAyOWVlNDMyOGMzMTNkMWMzYzcyMjAxMzMiLCJ1c2VySWQiOiIxMzM2OTY0MTk1In0=</vt:lpwstr>
  </property>
</Properties>
</file>