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方正小标宋简体" w:hAnsi="方正小标宋简体" w:eastAsia="方正小标宋简体" w:cs="方正小标宋简体"/>
          <w:spacing w:val="0"/>
          <w:w w:val="100"/>
          <w:lang w:val="en-US" w:eastAsia="zh-CN"/>
        </w:rPr>
      </w:pPr>
      <w:r>
        <w:rPr>
          <w:rFonts w:hint="eastAsia" w:ascii="方正小标宋简体" w:hAnsi="方正小标宋简体" w:eastAsia="方正小标宋简体" w:cs="方正小标宋简体"/>
          <w:spacing w:val="0"/>
          <w:w w:val="100"/>
        </w:rPr>
        <w:t>福建省药品监督管理局</w:t>
      </w:r>
    </w:p>
    <w:p>
      <w:pPr>
        <w:pStyle w:val="6"/>
        <w:rPr>
          <w:rFonts w:hint="eastAsia" w:ascii="方正小标宋简体" w:hAnsi="方正小标宋简体" w:eastAsia="方正小标宋简体" w:cs="方正小标宋简体"/>
          <w:spacing w:val="0"/>
          <w:w w:val="100"/>
        </w:rPr>
      </w:pPr>
      <w:r>
        <w:rPr>
          <w:rFonts w:hint="eastAsia" w:ascii="方正小标宋简体" w:hAnsi="方正小标宋简体" w:eastAsia="方正小标宋简体" w:cs="方正小标宋简体"/>
          <w:spacing w:val="0"/>
          <w:w w:val="100"/>
        </w:rPr>
        <w:t>行政处罚决定书</w:t>
      </w:r>
    </w:p>
    <w:p>
      <w:pPr>
        <w:keepNext w:val="0"/>
        <w:keepLines w:val="0"/>
        <w:pageBreakBefore w:val="0"/>
        <w:widowControl/>
        <w:kinsoku/>
        <w:overflowPunct/>
        <w:topLinePunct w:val="0"/>
        <w:bidi w:val="0"/>
        <w:adjustRightInd/>
        <w:snapToGrid w:val="0"/>
        <w:spacing w:line="580" w:lineRule="exact"/>
        <w:ind w:right="55"/>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闽药监</w:t>
      </w:r>
      <w:r>
        <w:rPr>
          <w:rFonts w:hint="eastAsia" w:ascii="仿宋_GB2312" w:hAnsi="仿宋_GB2312" w:eastAsia="仿宋_GB2312" w:cs="仿宋_GB2312"/>
          <w:sz w:val="32"/>
          <w:szCs w:val="32"/>
          <w:highlight w:val="none"/>
          <w:lang w:eastAsia="zh-CN"/>
        </w:rPr>
        <w:t>厦</w:t>
      </w:r>
      <w:r>
        <w:rPr>
          <w:rFonts w:hint="eastAsia" w:ascii="仿宋_GB2312" w:hAnsi="仿宋_GB2312" w:eastAsia="仿宋_GB2312" w:cs="仿宋_GB2312"/>
          <w:sz w:val="32"/>
          <w:szCs w:val="32"/>
          <w:highlight w:val="none"/>
        </w:rPr>
        <w:t>稽办处罚〔202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号</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before="157" w:beforeLines="50" w:after="157" w:afterLines="50" w:line="560" w:lineRule="exact"/>
        <w:jc w:val="center"/>
        <w:textAlignment w:val="baseline"/>
        <w:rPr>
          <w:rFonts w:hint="eastAsia" w:ascii="仿宋" w:hAnsi="仿宋" w:eastAsia="仿宋" w:cs="仿宋"/>
          <w:spacing w:val="0"/>
          <w:w w:val="100"/>
          <w:sz w:val="32"/>
          <w:szCs w:val="32"/>
        </w:rPr>
      </w:pPr>
    </w:p>
    <w:p>
      <w:pPr>
        <w:keepNext w:val="0"/>
        <w:keepLines w:val="0"/>
        <w:pageBreakBefore w:val="0"/>
        <w:widowControl w:val="0"/>
        <w:shd w:val="clear" w:color="auto" w:fill="FFFFFF"/>
        <w:kinsoku/>
        <w:overflowPunct/>
        <w:topLinePunct w:val="0"/>
        <w:autoSpaceDE/>
        <w:autoSpaceDN/>
        <w:bidi w:val="0"/>
        <w:adjustRightInd/>
        <w:snapToGrid/>
        <w:spacing w:line="240" w:lineRule="auto"/>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当事人：</w:t>
      </w:r>
      <w:r>
        <w:rPr>
          <w:rFonts w:hint="eastAsia" w:ascii="仿宋_GB2312" w:hAnsi="仿宋_GB2312" w:eastAsia="仿宋_GB2312" w:cs="仿宋_GB2312"/>
          <w:color w:val="auto"/>
          <w:spacing w:val="0"/>
          <w:kern w:val="2"/>
          <w:sz w:val="32"/>
          <w:szCs w:val="32"/>
          <w:highlight w:val="none"/>
          <w:u w:val="none" w:color="auto"/>
          <w:lang w:val="en-US" w:eastAsia="zh-CN" w:bidi="ar-SA"/>
        </w:rPr>
        <w:t>厦门传福堂药业有限公司</w:t>
      </w:r>
    </w:p>
    <w:p>
      <w:pPr>
        <w:keepNext w:val="0"/>
        <w:keepLines w:val="0"/>
        <w:pageBreakBefore w:val="0"/>
        <w:widowControl w:val="0"/>
        <w:shd w:val="clear" w:color="auto" w:fill="FFFFFF"/>
        <w:kinsoku/>
        <w:overflowPunct/>
        <w:topLinePunct w:val="0"/>
        <w:autoSpaceDE/>
        <w:autoSpaceDN/>
        <w:bidi w:val="0"/>
        <w:adjustRightInd/>
        <w:snapToGrid/>
        <w:spacing w:line="240" w:lineRule="auto"/>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主体资格证照名称：营业执照</w:t>
      </w:r>
    </w:p>
    <w:p>
      <w:pPr>
        <w:keepNext w:val="0"/>
        <w:keepLines w:val="0"/>
        <w:pageBreakBefore w:val="0"/>
        <w:widowControl w:val="0"/>
        <w:shd w:val="clear" w:color="auto" w:fill="FFFFFF"/>
        <w:kinsoku/>
        <w:overflowPunct/>
        <w:topLinePunct w:val="0"/>
        <w:autoSpaceDE/>
        <w:autoSpaceDN/>
        <w:bidi w:val="0"/>
        <w:adjustRightInd/>
        <w:snapToGrid/>
        <w:spacing w:line="240" w:lineRule="auto"/>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统一社会信用代码：</w:t>
      </w:r>
      <w:r>
        <w:rPr>
          <w:rFonts w:hint="eastAsia" w:ascii="仿宋_GB2312" w:hAnsi="仿宋_GB2312" w:eastAsia="仿宋_GB2312" w:cs="仿宋_GB2312"/>
          <w:bCs w:val="0"/>
          <w:sz w:val="32"/>
          <w:szCs w:val="32"/>
          <w:lang w:val="en-US" w:eastAsia="zh-CN"/>
        </w:rPr>
        <w:t>91350200671271135A</w:t>
      </w:r>
    </w:p>
    <w:p>
      <w:pPr>
        <w:keepNext w:val="0"/>
        <w:keepLines w:val="0"/>
        <w:pageBreakBefore w:val="0"/>
        <w:widowControl w:val="0"/>
        <w:shd w:val="clear" w:color="auto" w:fill="FFFFFF"/>
        <w:kinsoku/>
        <w:overflowPunct/>
        <w:topLinePunct w:val="0"/>
        <w:autoSpaceDE/>
        <w:autoSpaceDN/>
        <w:bidi w:val="0"/>
        <w:adjustRightInd/>
        <w:snapToGrid/>
        <w:spacing w:line="240" w:lineRule="auto"/>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住所：</w:t>
      </w:r>
      <w:r>
        <w:rPr>
          <w:rFonts w:hint="eastAsia" w:ascii="仿宋_GB2312" w:hAnsi="仿宋_GB2312" w:eastAsia="仿宋_GB2312" w:cs="仿宋_GB2312"/>
          <w:bCs w:val="0"/>
          <w:sz w:val="32"/>
          <w:szCs w:val="32"/>
          <w:lang w:val="en-US" w:eastAsia="zh-CN"/>
        </w:rPr>
        <w:t>厦门火炬高新区（翔安）产业区翔安北路3701号之2号厂房</w:t>
      </w:r>
    </w:p>
    <w:p>
      <w:pPr>
        <w:keepNext w:val="0"/>
        <w:keepLines w:val="0"/>
        <w:pageBreakBefore w:val="0"/>
        <w:widowControl w:val="0"/>
        <w:shd w:val="clear" w:color="auto" w:fill="FFFFFF"/>
        <w:kinsoku/>
        <w:overflowPunct/>
        <w:topLinePunct w:val="0"/>
        <w:autoSpaceDE/>
        <w:autoSpaceDN/>
        <w:bidi w:val="0"/>
        <w:adjustRightInd/>
        <w:snapToGrid/>
        <w:spacing w:line="240" w:lineRule="auto"/>
        <w:ind w:firstLine="641"/>
        <w:jc w:val="both"/>
        <w:textAlignment w:val="auto"/>
        <w:rPr>
          <w:rFonts w:hint="default"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法定代表人：</w:t>
      </w:r>
      <w:r>
        <w:rPr>
          <w:rFonts w:hint="eastAsia" w:ascii="仿宋_GB2312" w:hAnsi="仿宋_GB2312" w:eastAsia="仿宋_GB2312" w:cs="仿宋_GB2312"/>
          <w:bCs w:val="0"/>
          <w:sz w:val="32"/>
          <w:szCs w:val="32"/>
          <w:lang w:val="en-US" w:eastAsia="zh-CN"/>
        </w:rPr>
        <w:t>黄**</w:t>
      </w:r>
    </w:p>
    <w:p>
      <w:pPr>
        <w:keepNext w:val="0"/>
        <w:keepLines w:val="0"/>
        <w:pageBreakBefore w:val="0"/>
        <w:widowControl w:val="0"/>
        <w:shd w:val="clear" w:color="auto" w:fill="FFFFFF"/>
        <w:kinsoku/>
        <w:overflowPunct/>
        <w:topLinePunct w:val="0"/>
        <w:autoSpaceDE/>
        <w:autoSpaceDN/>
        <w:bidi w:val="0"/>
        <w:adjustRightInd/>
        <w:snapToGrid/>
        <w:spacing w:line="240" w:lineRule="auto"/>
        <w:ind w:firstLine="641"/>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 w:hAnsi="仿宋" w:eastAsia="仿宋" w:cs="仿宋_GB2312"/>
          <w:bCs/>
          <w:color w:val="000000"/>
          <w:kern w:val="2"/>
          <w:sz w:val="32"/>
          <w:szCs w:val="32"/>
          <w:u w:val="none"/>
          <w:lang w:val="en-US" w:eastAsia="zh-CN" w:bidi="ar-SA"/>
        </w:rPr>
        <w:t>身份证号码：******************</w:t>
      </w:r>
    </w:p>
    <w:p>
      <w:pPr>
        <w:pStyle w:val="3"/>
        <w:spacing w:line="60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val="0"/>
          <w:sz w:val="32"/>
          <w:szCs w:val="32"/>
          <w:lang w:val="en-US" w:eastAsia="zh-CN"/>
        </w:rPr>
        <w:t>2025年8月6日，本局收到福建省食品药品质量检验研究院编号为2025YC0250的检验报告，该报告显示厦门传福堂药业有限公司生产的批号24100501的远红外治疗贴检验项目“药物添加”检出水杨酸甲酯药物成分，含量为58mg/贴。2025年8月7日，</w:t>
      </w:r>
      <w:r>
        <w:rPr>
          <w:rFonts w:hint="eastAsia" w:ascii="仿宋_GB2312" w:hAnsi="仿宋_GB2312" w:eastAsia="仿宋_GB2312" w:cs="仿宋_GB2312"/>
          <w:sz w:val="32"/>
          <w:szCs w:val="32"/>
          <w:lang w:eastAsia="zh-CN"/>
        </w:rPr>
        <w:t>本局</w:t>
      </w:r>
      <w:r>
        <w:rPr>
          <w:rFonts w:hint="eastAsia" w:ascii="仿宋_GB2312" w:hAnsi="仿宋_GB2312" w:eastAsia="仿宋_GB2312" w:cs="仿宋_GB2312"/>
          <w:color w:val="auto"/>
          <w:sz w:val="32"/>
          <w:szCs w:val="32"/>
          <w:lang w:eastAsia="zh-CN"/>
        </w:rPr>
        <w:t>向</w:t>
      </w:r>
      <w:r>
        <w:rPr>
          <w:rFonts w:hint="eastAsia" w:ascii="仿宋_GB2312" w:hAnsi="仿宋_GB2312" w:eastAsia="仿宋_GB2312" w:cs="仿宋_GB2312"/>
          <w:kern w:val="0"/>
          <w:sz w:val="32"/>
          <w:szCs w:val="32"/>
          <w:lang w:val="en-US" w:eastAsia="zh-CN"/>
        </w:rPr>
        <w:t>当事人</w:t>
      </w:r>
      <w:r>
        <w:rPr>
          <w:rFonts w:hint="eastAsia" w:ascii="仿宋_GB2312" w:hAnsi="仿宋_GB2312" w:eastAsia="仿宋_GB2312" w:cs="仿宋_GB2312"/>
          <w:kern w:val="0"/>
          <w:sz w:val="32"/>
          <w:szCs w:val="32"/>
          <w:lang w:eastAsia="zh-CN"/>
        </w:rPr>
        <w:t>直接</w:t>
      </w:r>
      <w:r>
        <w:rPr>
          <w:rFonts w:hint="eastAsia" w:ascii="仿宋_GB2312" w:hAnsi="仿宋_GB2312" w:eastAsia="仿宋_GB2312" w:cs="仿宋_GB2312"/>
          <w:color w:val="auto"/>
          <w:sz w:val="32"/>
          <w:szCs w:val="32"/>
          <w:lang w:eastAsia="zh-CN"/>
        </w:rPr>
        <w:t>送达了上述《检验报告》，并进行了核查。当事人</w:t>
      </w:r>
      <w:r>
        <w:rPr>
          <w:rFonts w:hint="eastAsia" w:ascii="仿宋_GB2312" w:hAnsi="仿宋_GB2312" w:eastAsia="仿宋_GB2312" w:cs="仿宋_GB2312"/>
          <w:kern w:val="0"/>
          <w:sz w:val="32"/>
          <w:szCs w:val="32"/>
          <w:lang w:eastAsia="zh-CN"/>
        </w:rPr>
        <w:t>确认了上述《检验报告》所标示的</w:t>
      </w:r>
      <w:r>
        <w:rPr>
          <w:rFonts w:hint="eastAsia" w:ascii="仿宋_GB2312" w:hAnsi="仿宋_GB2312" w:eastAsia="仿宋_GB2312" w:cs="仿宋_GB2312"/>
          <w:bCs w:val="0"/>
          <w:sz w:val="32"/>
          <w:szCs w:val="32"/>
          <w:lang w:val="en-US" w:eastAsia="zh-CN"/>
        </w:rPr>
        <w:t>远红外治疗贴</w:t>
      </w:r>
      <w:r>
        <w:rPr>
          <w:rFonts w:hint="eastAsia" w:ascii="仿宋_GB2312" w:hAnsi="仿宋_GB2312" w:eastAsia="仿宋_GB2312" w:cs="仿宋_GB2312"/>
          <w:kern w:val="0"/>
          <w:sz w:val="32"/>
          <w:szCs w:val="32"/>
          <w:lang w:eastAsia="zh-CN"/>
        </w:rPr>
        <w:t>为其所生产的产品。</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lang w:eastAsia="zh-CN"/>
        </w:rPr>
        <w:t>，本局受理了</w:t>
      </w:r>
      <w:r>
        <w:rPr>
          <w:rFonts w:hint="eastAsia" w:ascii="仿宋_GB2312" w:hAnsi="仿宋_GB2312" w:eastAsia="仿宋_GB2312" w:cs="仿宋_GB2312"/>
          <w:kern w:val="0"/>
          <w:sz w:val="32"/>
          <w:szCs w:val="32"/>
          <w:lang w:val="en-US" w:eastAsia="zh-CN"/>
        </w:rPr>
        <w:t>当事人的</w:t>
      </w:r>
      <w:r>
        <w:rPr>
          <w:rFonts w:hint="eastAsia" w:ascii="仿宋_GB2312" w:hAnsi="仿宋_GB2312" w:eastAsia="仿宋_GB2312" w:cs="仿宋_GB2312"/>
          <w:color w:val="auto"/>
          <w:sz w:val="32"/>
          <w:szCs w:val="32"/>
          <w:lang w:eastAsia="zh-CN"/>
        </w:rPr>
        <w:t>复检申请。202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eastAsia="zh-CN"/>
        </w:rPr>
        <w:t>日，本局收到安徽省食品药品检验研究院编号</w:t>
      </w:r>
      <w:r>
        <w:rPr>
          <w:rFonts w:hint="eastAsia" w:ascii="仿宋_GB2312" w:hAnsi="仿宋_GB2312" w:eastAsia="仿宋_GB2312" w:cs="仿宋_GB2312"/>
          <w:bCs w:val="0"/>
          <w:sz w:val="32"/>
          <w:szCs w:val="32"/>
          <w:lang w:val="en-US" w:eastAsia="zh-CN"/>
        </w:rPr>
        <w:t>为</w:t>
      </w:r>
      <w:r>
        <w:rPr>
          <w:rFonts w:hint="eastAsia" w:ascii="仿宋_GB2312" w:hAnsi="仿宋_GB2312" w:eastAsia="仿宋_GB2312" w:cs="仿宋_GB2312"/>
          <w:color w:val="auto"/>
          <w:sz w:val="32"/>
          <w:szCs w:val="32"/>
          <w:lang w:val="en-US" w:eastAsia="zh-CN"/>
        </w:rPr>
        <w:t>AH2025-QFJ-00002的</w:t>
      </w:r>
      <w:r>
        <w:rPr>
          <w:rFonts w:hint="eastAsia" w:ascii="仿宋_GB2312" w:hAnsi="仿宋_GB2312" w:eastAsia="仿宋_GB2312" w:cs="仿宋_GB2312"/>
          <w:color w:val="auto"/>
          <w:sz w:val="32"/>
          <w:szCs w:val="32"/>
          <w:lang w:eastAsia="zh-CN"/>
        </w:rPr>
        <w:t>检验报告，</w:t>
      </w:r>
      <w:r>
        <w:rPr>
          <w:rFonts w:hint="eastAsia" w:ascii="仿宋_GB2312" w:hAnsi="仿宋_GB2312" w:eastAsia="仿宋_GB2312" w:cs="仿宋_GB2312"/>
          <w:bCs w:val="0"/>
          <w:sz w:val="32"/>
          <w:szCs w:val="32"/>
          <w:lang w:val="en-US" w:eastAsia="zh-CN"/>
        </w:rPr>
        <w:t>远红外治疗贴的</w:t>
      </w:r>
      <w:r>
        <w:rPr>
          <w:rFonts w:hint="eastAsia" w:ascii="仿宋_GB2312" w:hAnsi="仿宋_GB2312" w:eastAsia="仿宋_GB2312" w:cs="仿宋_GB2312"/>
          <w:color w:val="auto"/>
          <w:sz w:val="32"/>
          <w:szCs w:val="32"/>
          <w:lang w:eastAsia="zh-CN"/>
        </w:rPr>
        <w:t>检验项目</w:t>
      </w:r>
      <w:r>
        <w:rPr>
          <w:rFonts w:hint="eastAsia" w:ascii="仿宋_GB2312" w:hAnsi="仿宋_GB2312" w:eastAsia="仿宋_GB2312" w:cs="仿宋_GB2312"/>
          <w:bCs w:val="0"/>
          <w:sz w:val="32"/>
          <w:szCs w:val="32"/>
          <w:lang w:val="en-US" w:eastAsia="zh-CN"/>
        </w:rPr>
        <w:t>“药物添加”</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复检</w:t>
      </w:r>
      <w:r>
        <w:rPr>
          <w:rFonts w:hint="eastAsia" w:ascii="仿宋_GB2312" w:hAnsi="仿宋_GB2312" w:eastAsia="仿宋_GB2312" w:cs="仿宋_GB2312"/>
          <w:color w:val="auto"/>
          <w:sz w:val="32"/>
          <w:szCs w:val="32"/>
          <w:lang w:eastAsia="zh-CN"/>
        </w:rPr>
        <w:t>结论为</w:t>
      </w:r>
      <w:r>
        <w:rPr>
          <w:rFonts w:hint="eastAsia" w:ascii="仿宋_GB2312" w:hAnsi="仿宋_GB2312" w:eastAsia="仿宋_GB2312" w:cs="仿宋_GB2312"/>
          <w:bCs w:val="0"/>
          <w:sz w:val="32"/>
          <w:szCs w:val="32"/>
          <w:lang w:val="en-US" w:eastAsia="zh-CN"/>
        </w:rPr>
        <w:t>检出水杨酸甲酯药物成分，含量为61.32mg/贴</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lang w:eastAsia="zh-CN"/>
        </w:rPr>
        <w:t>日，本局向</w:t>
      </w:r>
      <w:r>
        <w:rPr>
          <w:rFonts w:hint="eastAsia" w:ascii="仿宋_GB2312" w:hAnsi="仿宋_GB2312" w:eastAsia="仿宋_GB2312" w:cs="仿宋_GB2312"/>
          <w:kern w:val="0"/>
          <w:sz w:val="32"/>
          <w:szCs w:val="32"/>
          <w:lang w:val="en-US" w:eastAsia="zh-CN"/>
        </w:rPr>
        <w:t>当事人</w:t>
      </w:r>
      <w:r>
        <w:rPr>
          <w:rFonts w:hint="eastAsia" w:ascii="仿宋_GB2312" w:hAnsi="仿宋_GB2312" w:eastAsia="仿宋_GB2312" w:cs="仿宋_GB2312"/>
          <w:color w:val="auto"/>
          <w:sz w:val="32"/>
          <w:szCs w:val="32"/>
          <w:lang w:eastAsia="zh-CN"/>
        </w:rPr>
        <w:t>送达了复检报告。202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eastAsia="zh-CN"/>
        </w:rPr>
        <w:t>日，本局予以立案。</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Cs/>
          <w:color w:val="auto"/>
          <w:sz w:val="32"/>
          <w:szCs w:val="32"/>
          <w:lang w:val="en-US" w:eastAsia="zh-CN"/>
        </w:rPr>
        <w:t>经查，</w:t>
      </w:r>
      <w:r>
        <w:rPr>
          <w:rFonts w:hint="eastAsia" w:ascii="仿宋_GB2312" w:hAnsi="仿宋_GB2312" w:eastAsia="仿宋_GB2312" w:cs="仿宋_GB2312"/>
          <w:sz w:val="32"/>
          <w:szCs w:val="32"/>
          <w:lang w:val="en-US" w:eastAsia="zh-CN" w:bidi="ar-SA"/>
        </w:rPr>
        <w:t>当事人于2024年10月5日开始生产批号24100501、型号规格100×121的远红外治疗贴。至2024年10月9日，共计生产了每盒6贴装的远红外治疗贴700盒、每盒3贴装的远红外治疗贴1280盒，后分别</w:t>
      </w:r>
      <w:r>
        <w:rPr>
          <w:rFonts w:hint="eastAsia" w:ascii="仿宋_GB2312" w:hAnsi="仿宋_GB2312" w:eastAsia="仿宋_GB2312" w:cs="仿宋_GB2312"/>
          <w:kern w:val="0"/>
          <w:sz w:val="32"/>
          <w:szCs w:val="32"/>
          <w:lang w:val="en-US" w:eastAsia="zh-CN"/>
        </w:rPr>
        <w:t>销售给福建省</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kern w:val="0"/>
          <w:sz w:val="32"/>
          <w:szCs w:val="32"/>
          <w:lang w:val="en-US" w:eastAsia="zh-CN"/>
        </w:rPr>
        <w:t>医药有限公司、</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kern w:val="0"/>
          <w:sz w:val="32"/>
          <w:szCs w:val="32"/>
          <w:lang w:val="en-US" w:eastAsia="zh-CN"/>
        </w:rPr>
        <w:t>(福建)医药集团有限公司、福建</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kern w:val="0"/>
          <w:sz w:val="32"/>
          <w:szCs w:val="32"/>
          <w:lang w:val="en-US" w:eastAsia="zh-CN"/>
        </w:rPr>
        <w:t>医药有限公司、厦门</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kern w:val="0"/>
          <w:sz w:val="32"/>
          <w:szCs w:val="32"/>
          <w:lang w:val="en-US" w:eastAsia="zh-CN"/>
        </w:rPr>
        <w:t>医药有限公司</w:t>
      </w:r>
      <w:r>
        <w:rPr>
          <w:rFonts w:hint="eastAsia" w:ascii="仿宋_GB2312" w:hAnsi="仿宋_GB2312" w:eastAsia="仿宋_GB2312" w:cs="仿宋_GB2312"/>
          <w:bCs w:val="0"/>
          <w:sz w:val="32"/>
          <w:szCs w:val="32"/>
          <w:lang w:val="en-US" w:eastAsia="zh-CN"/>
        </w:rPr>
        <w:t>等单位，</w:t>
      </w:r>
      <w:r>
        <w:rPr>
          <w:rFonts w:hint="eastAsia" w:ascii="仿宋_GB2312" w:hAnsi="仿宋_GB2312" w:eastAsia="仿宋_GB2312" w:cs="仿宋_GB2312"/>
          <w:sz w:val="32"/>
          <w:szCs w:val="32"/>
          <w:lang w:val="en-US" w:eastAsia="zh-CN" w:bidi="ar-SA"/>
        </w:rPr>
        <w:t>上述货值金额（即违法所得）共计28584元。上述批次产品经福建省食品药品质量检验研究院初检和安徽省食品药品检验研究院复检，检验项目“药物添加”均检出水杨酸甲酯药物成分。经调查，当事人为了提高产品功效，在涉案批次产品中添加了水杨酸甲酯、单硬脂酸甘油酯和薄荷素油。当事人经注册的闽械注准20172090126产品技术要求《远红外治疗贴》组成成分为远红外陶瓷粉、甘油、羧甲基纤维素钠、卡波姆940、活性炭、无纺布芯袋、医用透气胶带和离型纸，而水杨酸甲酯、单硬脂酸甘油酯、薄荷素油不属于涉案产品产品技术要求规定的组成成分。</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当事人在收到不合格检验报告后启动了涉案批次的召回工作。截止2025年12月30日，当事人召回每盒6贴装的远红外治疗贴175盒。每盒3贴装的远红外治疗贴因经销商销售完毕，无法召回。</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2026年1月8日至1月9日，本局针对当事人远红外治疗贴检出水杨酸甲酯药物成分，组织飞行检查组开展有因检查，发现当事人存在不符合《医疗器械生产质量管理规范》要求的相关问题，现场检查发现不符合项8条，其中关键不符合项5条，一般不符合项3条。</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上述事实，主要有以下证据证明：</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1.当事人《营业执照》《医疗器械生产许可证》、远红外治疗贴《医疗器械注册证》及其产品技术要求等材料复印件，证明当事人具备生产远红外治疗贴的资质情况。</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2.现场笔录、询问笔录、当事人兼任法定代表人、企业负责人和管理者代表的黄</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sz w:val="32"/>
          <w:szCs w:val="32"/>
          <w:lang w:val="en-US" w:eastAsia="zh-CN" w:bidi="ar-SA"/>
        </w:rPr>
        <w:t>、质量负责人刘</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sz w:val="32"/>
          <w:szCs w:val="32"/>
          <w:lang w:val="en-US" w:eastAsia="zh-CN" w:bidi="ar-SA"/>
        </w:rPr>
        <w:t>、研发负责人许</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sz w:val="32"/>
          <w:szCs w:val="32"/>
          <w:lang w:val="en-US" w:eastAsia="zh-CN" w:bidi="ar-SA"/>
        </w:rPr>
        <w:t>、工艺组负责人黄</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sz w:val="32"/>
          <w:szCs w:val="32"/>
          <w:lang w:val="en-US" w:eastAsia="zh-CN" w:bidi="ar-SA"/>
        </w:rPr>
        <w:t>、工艺组员工许</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sz w:val="32"/>
          <w:szCs w:val="32"/>
          <w:lang w:val="en-US" w:eastAsia="zh-CN" w:bidi="ar-SA"/>
        </w:rPr>
        <w:t>、采购员戴</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sz w:val="32"/>
          <w:szCs w:val="32"/>
          <w:lang w:val="en-US" w:eastAsia="zh-CN" w:bidi="ar-SA"/>
        </w:rPr>
        <w:t>、销售员纪</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sz w:val="32"/>
          <w:szCs w:val="32"/>
          <w:lang w:val="en-US" w:eastAsia="zh-CN" w:bidi="ar-SA"/>
        </w:rPr>
        <w:t>等人居民身份证复印件，证明当事人相关人员的身份、职务情况；法定代表人黄**《委托授权书》2份、刘</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sz w:val="32"/>
          <w:szCs w:val="32"/>
          <w:lang w:val="en-US" w:eastAsia="zh-CN" w:bidi="ar-SA"/>
        </w:rPr>
        <w:t>、洪</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sz w:val="32"/>
          <w:szCs w:val="32"/>
          <w:lang w:val="en-US" w:eastAsia="zh-CN" w:bidi="ar-SA"/>
        </w:rPr>
        <w:t>居民身份证复印件，证明刘</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sz w:val="32"/>
          <w:szCs w:val="32"/>
          <w:lang w:val="en-US" w:eastAsia="zh-CN" w:bidi="ar-SA"/>
        </w:rPr>
        <w:t>、洪</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sz w:val="32"/>
          <w:szCs w:val="32"/>
          <w:lang w:val="en-US" w:eastAsia="zh-CN" w:bidi="ar-SA"/>
        </w:rPr>
        <w:t>为当事人授权的委托代理人‌。</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en-US" w:eastAsia="zh-CN" w:bidi="ar-SA"/>
        </w:rPr>
        <w:t>3.福建省食品药品质量检验研究院编号为2025YC0250的检验报告、</w:t>
      </w:r>
      <w:r>
        <w:rPr>
          <w:rFonts w:hint="eastAsia" w:ascii="仿宋_GB2312" w:hAnsi="仿宋_GB2312" w:eastAsia="仿宋_GB2312" w:cs="仿宋_GB2312"/>
          <w:sz w:val="32"/>
          <w:szCs w:val="32"/>
          <w:lang w:val="zh-CN" w:eastAsia="zh-CN" w:bidi="ar-SA"/>
        </w:rPr>
        <w:t>安徽省食品药品检验研究院编号</w:t>
      </w:r>
      <w:r>
        <w:rPr>
          <w:rFonts w:hint="eastAsia" w:ascii="仿宋_GB2312" w:hAnsi="仿宋_GB2312" w:eastAsia="仿宋_GB2312" w:cs="仿宋_GB2312"/>
          <w:sz w:val="32"/>
          <w:szCs w:val="32"/>
          <w:lang w:val="en-US" w:eastAsia="zh-CN" w:bidi="ar-SA"/>
        </w:rPr>
        <w:t>为AH2025-QFJ-00002的</w:t>
      </w:r>
      <w:r>
        <w:rPr>
          <w:rFonts w:hint="eastAsia" w:ascii="仿宋_GB2312" w:hAnsi="仿宋_GB2312" w:eastAsia="仿宋_GB2312" w:cs="仿宋_GB2312"/>
          <w:sz w:val="32"/>
          <w:szCs w:val="32"/>
          <w:lang w:val="zh-CN" w:eastAsia="zh-CN" w:bidi="ar-SA"/>
        </w:rPr>
        <w:t>检验报告、</w:t>
      </w:r>
      <w:r>
        <w:rPr>
          <w:rFonts w:hint="eastAsia" w:ascii="仿宋_GB2312" w:hAnsi="仿宋_GB2312" w:eastAsia="仿宋_GB2312" w:cs="仿宋_GB2312"/>
          <w:sz w:val="32"/>
          <w:szCs w:val="32"/>
          <w:lang w:val="en-US" w:eastAsia="zh-CN" w:bidi="ar-SA"/>
        </w:rPr>
        <w:t>2025年省级医疗器械抽检复检通知书等复印件，证明案件来源和当事人生产的</w:t>
      </w:r>
      <w:r>
        <w:rPr>
          <w:rFonts w:hint="eastAsia" w:ascii="仿宋_GB2312" w:hAnsi="仿宋_GB2312" w:eastAsia="仿宋_GB2312" w:cs="仿宋_GB2312"/>
          <w:sz w:val="32"/>
          <w:szCs w:val="32"/>
          <w:lang w:val="zh-CN" w:eastAsia="zh-CN" w:bidi="ar-SA"/>
        </w:rPr>
        <w:t>批号</w:t>
      </w:r>
      <w:r>
        <w:rPr>
          <w:rFonts w:hint="eastAsia" w:ascii="仿宋_GB2312" w:hAnsi="仿宋_GB2312" w:eastAsia="仿宋_GB2312" w:cs="仿宋_GB2312"/>
          <w:sz w:val="32"/>
          <w:szCs w:val="32"/>
          <w:lang w:val="en-US" w:eastAsia="zh-CN" w:bidi="ar-SA"/>
        </w:rPr>
        <w:t>24100501、型号规格100×121的远红外治疗贴初检、复检结论均为检验项目“药物添加”检出水杨酸甲酯药物成分。</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4.本局协助调查函及复函、</w:t>
      </w:r>
      <w:r>
        <w:rPr>
          <w:rFonts w:hint="eastAsia" w:ascii="仿宋_GB2312" w:hAnsi="仿宋_GB2312" w:eastAsia="仿宋_GB2312" w:cs="仿宋_GB2312"/>
          <w:sz w:val="32"/>
          <w:szCs w:val="32"/>
          <w:lang w:val="zh-CN" w:eastAsia="zh-CN" w:bidi="ar-SA"/>
        </w:rPr>
        <w:t>询问笔录、</w:t>
      </w:r>
      <w:r>
        <w:rPr>
          <w:rFonts w:hint="eastAsia" w:ascii="仿宋_GB2312" w:hAnsi="仿宋_GB2312" w:eastAsia="仿宋_GB2312" w:cs="仿宋_GB2312"/>
          <w:sz w:val="32"/>
          <w:szCs w:val="32"/>
          <w:lang w:val="en-US" w:eastAsia="zh-CN" w:bidi="ar-SA"/>
        </w:rPr>
        <w:t>当事人购销合同、随货同行单、情况说明、电子发票、产品内包装袋、产品批号管理规程等复印件及外包装盒实物，证明当事人涉案批次产品生产了每盒6贴装的远红外治疗贴700盒、每盒3贴装的远红外治疗贴1280盒，货值金额（即违法所得）共计28584元。</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5.安徽</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sz w:val="32"/>
          <w:szCs w:val="32"/>
          <w:lang w:val="en-US" w:eastAsia="zh-CN" w:bidi="ar-SA"/>
        </w:rPr>
        <w:t>药业股份有限公司销售合同、单硬脂酸甘油酯采购合同、电子发票、冬青油（水杨酸甲酯）物料货位卡、单硬脂酸甘油酯物料货位卡、薄荷素油物料货位卡、研发配方中试记录单等复印件，证明当事人购进、使用冬青油（水杨酸甲酯）、单硬脂酸甘油酯、薄荷素油的相关情况。</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6.现场笔录</w:t>
      </w:r>
      <w:r>
        <w:rPr>
          <w:rFonts w:hint="eastAsia" w:ascii="仿宋_GB2312" w:hAnsi="仿宋_GB2312" w:eastAsia="仿宋_GB2312" w:cs="仿宋_GB2312"/>
          <w:sz w:val="32"/>
          <w:szCs w:val="32"/>
          <w:lang w:val="zh-CN" w:eastAsia="zh-CN" w:bidi="ar-SA"/>
        </w:rPr>
        <w:t>、现场照片</w:t>
      </w:r>
      <w:r>
        <w:rPr>
          <w:rFonts w:hint="eastAsia" w:ascii="仿宋_GB2312" w:hAnsi="仿宋_GB2312" w:eastAsia="仿宋_GB2312" w:cs="仿宋_GB2312"/>
          <w:sz w:val="32"/>
          <w:szCs w:val="32"/>
          <w:lang w:val="en-US" w:eastAsia="zh-CN" w:bidi="ar-SA"/>
        </w:rPr>
        <w:t>、黄**</w:t>
      </w:r>
      <w:r>
        <w:rPr>
          <w:rFonts w:hint="eastAsia" w:ascii="仿宋_GB2312" w:hAnsi="仿宋_GB2312" w:eastAsia="仿宋_GB2312" w:cs="仿宋_GB2312"/>
          <w:sz w:val="32"/>
          <w:szCs w:val="32"/>
          <w:lang w:val="zh-CN" w:eastAsia="zh-CN" w:bidi="ar-SA"/>
        </w:rPr>
        <w:t>询问笔录（第二次）、刘</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sz w:val="32"/>
          <w:szCs w:val="32"/>
          <w:lang w:val="zh-CN" w:eastAsia="zh-CN" w:bidi="ar-SA"/>
        </w:rPr>
        <w:t>询问笔录（第二次），</w:t>
      </w:r>
      <w:r>
        <w:rPr>
          <w:rFonts w:hint="eastAsia" w:ascii="仿宋_GB2312" w:hAnsi="仿宋_GB2312" w:eastAsia="仿宋_GB2312" w:cs="仿宋_GB2312"/>
          <w:sz w:val="32"/>
          <w:szCs w:val="32"/>
          <w:lang w:val="en-US" w:eastAsia="zh-CN" w:bidi="ar-SA"/>
        </w:rPr>
        <w:t>证明黄</w:t>
      </w:r>
      <w:r>
        <w:rPr>
          <w:rFonts w:hint="eastAsia" w:ascii="仿宋" w:hAnsi="仿宋" w:eastAsia="仿宋" w:cs="仿宋_GB2312"/>
          <w:bCs/>
          <w:color w:val="000000"/>
          <w:kern w:val="2"/>
          <w:sz w:val="32"/>
          <w:szCs w:val="32"/>
          <w:u w:val="none"/>
          <w:lang w:val="en-US" w:eastAsia="zh-CN" w:bidi="ar-SA"/>
        </w:rPr>
        <w:t>**</w:t>
      </w:r>
      <w:r>
        <w:rPr>
          <w:rFonts w:hint="eastAsia" w:ascii="仿宋_GB2312" w:hAnsi="仿宋_GB2312" w:eastAsia="仿宋_GB2312" w:cs="仿宋_GB2312"/>
          <w:sz w:val="32"/>
          <w:szCs w:val="32"/>
          <w:lang w:val="en-US" w:eastAsia="zh-CN" w:bidi="ar-SA"/>
        </w:rPr>
        <w:t>在涉案产品中添加了水杨酸甲酯、单硬脂酸甘油酯和薄荷素油。</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7.</w:t>
      </w:r>
      <w:r>
        <w:rPr>
          <w:rFonts w:hint="eastAsia" w:ascii="仿宋_GB2312" w:hAnsi="仿宋_GB2312" w:eastAsia="仿宋_GB2312" w:cs="仿宋_GB2312"/>
          <w:sz w:val="32"/>
          <w:szCs w:val="32"/>
          <w:lang w:val="zh-CN" w:eastAsia="zh-CN" w:bidi="ar-SA"/>
        </w:rPr>
        <w:t>询问笔录、当事人采取风险控制措施及复检告知承诺书、医疗器械召回事件报告表、产品召回通知书、召回计划实施情况报告表、专项自查整改报告等</w:t>
      </w:r>
      <w:r>
        <w:rPr>
          <w:rFonts w:hint="eastAsia" w:ascii="仿宋_GB2312" w:hAnsi="仿宋_GB2312" w:eastAsia="仿宋_GB2312" w:cs="仿宋_GB2312"/>
          <w:sz w:val="32"/>
          <w:szCs w:val="32"/>
          <w:lang w:val="en-US" w:eastAsia="zh-CN" w:bidi="ar-SA"/>
        </w:rPr>
        <w:t>复印件，</w:t>
      </w:r>
      <w:r>
        <w:rPr>
          <w:rFonts w:hint="eastAsia" w:ascii="仿宋_GB2312" w:hAnsi="仿宋_GB2312" w:eastAsia="仿宋_GB2312" w:cs="仿宋_GB2312"/>
          <w:sz w:val="32"/>
          <w:szCs w:val="32"/>
          <w:lang w:val="zh-CN" w:eastAsia="zh-CN" w:bidi="ar-SA"/>
        </w:rPr>
        <w:t>证明当事人产品召回情况。</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8.《医疗器械专项检查报告》《不符合项目情况表》，</w:t>
      </w:r>
      <w:r>
        <w:rPr>
          <w:rFonts w:hint="eastAsia" w:ascii="仿宋_GB2312" w:hAnsi="仿宋_GB2312" w:eastAsia="仿宋_GB2312" w:cs="仿宋_GB2312"/>
          <w:sz w:val="32"/>
          <w:szCs w:val="32"/>
          <w:lang w:val="zh-CN" w:eastAsia="zh-CN" w:bidi="ar-SA"/>
        </w:rPr>
        <w:t>证明当事人未保持质量管理体系有效运行的情况。</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2月4日，本局依法向当事人送达行政处罚告知书（闽药监厦稽办罚告〔2026〕1号），告知当事人本局拟作出的行政处罚内容及事实、理由、依据，并告知当事人依法享有的陈述、申辩、要求听证等权利。当事人在法定期限内未提出陈述、申辩意见，未要求听证。</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 w:hAnsi="仿宋" w:eastAsia="仿宋" w:cs="仿宋"/>
          <w:sz w:val="32"/>
          <w:szCs w:val="32"/>
          <w:lang w:val="en-US" w:eastAsia="zh-CN"/>
        </w:rPr>
        <w:t>本局认为，</w:t>
      </w:r>
      <w:r>
        <w:rPr>
          <w:rFonts w:hint="eastAsia" w:ascii="仿宋_GB2312" w:hAnsi="仿宋_GB2312" w:eastAsia="仿宋_GB2312" w:cs="仿宋_GB2312"/>
          <w:sz w:val="32"/>
          <w:szCs w:val="32"/>
          <w:lang w:val="en-US" w:eastAsia="zh-CN" w:bidi="ar-SA"/>
        </w:rPr>
        <w:t>水杨酸甲酯、单硬脂酸甘油酯和薄荷素油不属于经注册的闽械注准20172090126远红外治疗贴产品技术要求中规定的组成成分，而当事人在其生产的批号24100501、型号规格100×121的远红外治疗贴添加了水杨酸甲酯、单硬脂酸甘油酯和薄荷素油的行为，违反了《医疗器械监督管理条例》第三十五条第一款之规定，构成了未按照经注册的产品技术要求组织生产远红外治疗贴的违法行为。</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当事人存在《医疗器械生产质量管理规范》不符合项8条的行为，结合其在批号24100501、型号规格100×121的远红外治疗贴添加水杨酸甲酯、单硬脂酸甘油酯和薄荷素油的行为，违反了《医疗器械监督管理条例》第三十五条第一款，《医疗器械生产监督管理办法》第二十五条之规定，构成了未依照《医疗器械监督管理条例》规定建立质量管理体系并保持有效运行，影响产品安全、有效的违法行为。</w:t>
      </w:r>
    </w:p>
    <w:p>
      <w:pPr>
        <w:numPr>
          <w:ilvl w:val="0"/>
          <w:numId w:val="0"/>
        </w:numPr>
        <w:spacing w:line="560" w:lineRule="exact"/>
        <w:ind w:firstLine="640" w:firstLineChars="200"/>
        <w:jc w:val="both"/>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当事人为了掩盖违法添加水杨酸甲酯等物料的行为，未如实记录相关物料的采购台账、出入库、领料、投料等情况，因此当事人不符合《医疗器械生产质量管理规范》的关键项目（第1、5、6、7条不符合项）均与本案有直接关联，即上述</w:t>
      </w:r>
      <w:r>
        <w:rPr>
          <w:rFonts w:hint="default" w:ascii="仿宋_GB2312" w:hAnsi="仿宋_GB2312" w:eastAsia="仿宋_GB2312" w:cs="仿宋_GB2312"/>
          <w:sz w:val="32"/>
          <w:szCs w:val="32"/>
          <w:lang w:val="en-US" w:eastAsia="zh-CN" w:bidi="ar-SA"/>
        </w:rPr>
        <w:t>两种违法行为有牵连关系，</w:t>
      </w:r>
      <w:r>
        <w:rPr>
          <w:rFonts w:hint="eastAsia" w:ascii="仿宋_GB2312" w:hAnsi="仿宋_GB2312" w:eastAsia="仿宋_GB2312" w:cs="仿宋_GB2312"/>
          <w:sz w:val="32"/>
          <w:szCs w:val="32"/>
          <w:lang w:val="en-US" w:eastAsia="zh-CN" w:bidi="ar-SA"/>
        </w:rPr>
        <w:t>依据《福建省药品监管行政处罚裁量适用细则》</w:t>
      </w:r>
      <w:r>
        <w:rPr>
          <w:rFonts w:hint="default" w:ascii="仿宋_GB2312" w:hAnsi="仿宋_GB2312" w:eastAsia="仿宋_GB2312" w:cs="仿宋_GB2312"/>
          <w:sz w:val="32"/>
          <w:szCs w:val="32"/>
          <w:lang w:val="en-US" w:eastAsia="zh-CN" w:bidi="ar-SA"/>
        </w:rPr>
        <w:t>第十六条</w:t>
      </w:r>
      <w:r>
        <w:rPr>
          <w:rFonts w:hint="eastAsia" w:ascii="仿宋_GB2312" w:hAnsi="仿宋_GB2312" w:eastAsia="仿宋_GB2312" w:cs="仿宋_GB2312"/>
          <w:sz w:val="32"/>
          <w:szCs w:val="32"/>
          <w:lang w:val="en-US" w:eastAsia="zh-CN" w:bidi="ar-SA"/>
        </w:rPr>
        <w:t>、《医疗器械监督管理条例》八十六条第一款第二项、《医疗器械生产监督管理办法》第七十六条的规定，</w:t>
      </w:r>
      <w:r>
        <w:rPr>
          <w:rFonts w:hint="default" w:ascii="仿宋_GB2312" w:hAnsi="仿宋_GB2312" w:eastAsia="仿宋_GB2312" w:cs="仿宋_GB2312"/>
          <w:sz w:val="32"/>
          <w:szCs w:val="32"/>
          <w:lang w:val="en-US" w:eastAsia="zh-CN" w:bidi="ar-SA"/>
        </w:rPr>
        <w:t>适用吸收原则</w:t>
      </w:r>
      <w:r>
        <w:rPr>
          <w:rFonts w:hint="eastAsia" w:ascii="仿宋_GB2312" w:hAnsi="仿宋_GB2312" w:eastAsia="仿宋_GB2312" w:cs="仿宋_GB2312"/>
          <w:sz w:val="32"/>
          <w:szCs w:val="32"/>
          <w:lang w:val="en-US" w:eastAsia="zh-CN" w:bidi="ar-SA"/>
        </w:rPr>
        <w:t>，</w:t>
      </w:r>
      <w:r>
        <w:rPr>
          <w:rFonts w:hint="default" w:ascii="仿宋_GB2312" w:hAnsi="仿宋_GB2312" w:eastAsia="仿宋_GB2312" w:cs="仿宋_GB2312"/>
          <w:sz w:val="32"/>
          <w:szCs w:val="32"/>
          <w:lang w:val="en-US" w:eastAsia="zh-CN" w:bidi="ar-SA"/>
        </w:rPr>
        <w:t>择重而处</w:t>
      </w:r>
      <w:r>
        <w:rPr>
          <w:rFonts w:hint="eastAsia" w:ascii="仿宋_GB2312" w:hAnsi="仿宋_GB2312" w:eastAsia="仿宋_GB2312" w:cs="仿宋_GB2312"/>
          <w:sz w:val="32"/>
          <w:szCs w:val="32"/>
          <w:lang w:val="en-US" w:eastAsia="zh-CN" w:bidi="ar-SA"/>
        </w:rPr>
        <w:t>，本案以当事人未按照经注册的产品技术要求组织生产远红外治疗贴的行为为主行为，吸收当事人未依照《医疗器械监督管理条例》规定建立质量管理体系并保持有效运行，影响产品安全、有效的行为。</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当事人不符合《医疗器械生产质量管理规范》的另外4条不符合项（第2、3、4、8条不符合项）与本案没有直接关联，依据《医疗器械生产监督管理办法》第七十六条的规定，应责令其限期改正。当事人已于2026年1月23日完成这4条不符合项的整改。</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当事人在其生产的批号24100501的远红外治疗贴中主观故意添加水杨酸甲酯、单硬脂酸甘油酯、薄荷素油等三种不属于涉案产品产品技术要求规定的组成成分，尚未</w:t>
      </w:r>
      <w:r>
        <w:rPr>
          <w:rFonts w:hint="default" w:ascii="Times New Roman" w:hAnsi="Times New Roman" w:eastAsia="仿宋_GB2312" w:cs="Times New Roman"/>
          <w:bCs/>
          <w:color w:val="0D0D0D"/>
          <w:spacing w:val="6"/>
          <w:sz w:val="32"/>
          <w:szCs w:val="32"/>
        </w:rPr>
        <w:t>造成严重后果</w:t>
      </w:r>
      <w:r>
        <w:rPr>
          <w:rFonts w:hint="eastAsia" w:ascii="仿宋_GB2312" w:hAnsi="仿宋_GB2312" w:eastAsia="仿宋_GB2312" w:cs="仿宋_GB2312"/>
          <w:sz w:val="32"/>
          <w:szCs w:val="32"/>
          <w:lang w:val="en-US" w:eastAsia="zh-CN" w:bidi="ar-SA"/>
        </w:rPr>
        <w:t>，按照福建省药品监督管理局《福建省药品监管行政处罚裁量适用细则》</w:t>
      </w:r>
      <w:r>
        <w:rPr>
          <w:rFonts w:hint="default" w:ascii="仿宋_GB2312" w:hAnsi="仿宋_GB2312" w:eastAsia="仿宋_GB2312" w:cs="仿宋_GB2312"/>
          <w:sz w:val="32"/>
          <w:szCs w:val="32"/>
          <w:lang w:val="en-US" w:eastAsia="zh-CN" w:bidi="ar-SA"/>
        </w:rPr>
        <w:t>第十四条</w:t>
      </w:r>
      <w:r>
        <w:rPr>
          <w:rFonts w:hint="eastAsia" w:ascii="仿宋_GB2312" w:hAnsi="仿宋_GB2312" w:eastAsia="仿宋_GB2312" w:cs="仿宋_GB2312"/>
          <w:sz w:val="32"/>
          <w:szCs w:val="32"/>
          <w:lang w:val="en-US" w:eastAsia="zh-CN" w:bidi="ar-SA"/>
        </w:rPr>
        <w:t>第一款</w:t>
      </w:r>
      <w:r>
        <w:rPr>
          <w:rFonts w:hint="eastAsia" w:ascii="仿宋_GB2312" w:hAnsi="仿宋_GB2312" w:eastAsia="仿宋_GB2312" w:cs="仿宋_GB2312"/>
          <w:sz w:val="32"/>
          <w:szCs w:val="32"/>
          <w:lang w:val="zh-CN" w:eastAsia="zh-CN" w:bidi="ar-SA"/>
        </w:rPr>
        <w:t>第</w:t>
      </w:r>
      <w:r>
        <w:rPr>
          <w:rFonts w:hint="eastAsia" w:ascii="仿宋_GB2312" w:hAnsi="仿宋_GB2312" w:eastAsia="仿宋_GB2312" w:cs="仿宋_GB2312"/>
          <w:sz w:val="32"/>
          <w:szCs w:val="32"/>
          <w:lang w:val="en-US" w:eastAsia="zh-CN" w:bidi="ar-SA"/>
        </w:rPr>
        <w:t>二</w:t>
      </w:r>
      <w:r>
        <w:rPr>
          <w:rFonts w:hint="eastAsia" w:ascii="仿宋_GB2312" w:hAnsi="仿宋_GB2312" w:eastAsia="仿宋_GB2312" w:cs="仿宋_GB2312"/>
          <w:sz w:val="32"/>
          <w:szCs w:val="32"/>
          <w:lang w:val="zh-CN" w:eastAsia="zh-CN" w:bidi="ar-SA"/>
        </w:rPr>
        <w:t>项，虽可以不以“情节严重”给予行政处罚，但符合</w:t>
      </w:r>
      <w:r>
        <w:rPr>
          <w:rFonts w:hint="eastAsia" w:ascii="仿宋_GB2312" w:hAnsi="仿宋_GB2312" w:eastAsia="仿宋_GB2312" w:cs="仿宋_GB2312"/>
          <w:sz w:val="32"/>
          <w:szCs w:val="32"/>
          <w:lang w:val="en-US" w:eastAsia="zh-CN" w:bidi="ar-SA"/>
        </w:rPr>
        <w:t>福建省药品监督管理局《福建省药品监管行政处罚裁量适用细则》第十三条第一款第十二项</w:t>
      </w:r>
      <w:r>
        <w:rPr>
          <w:rFonts w:hint="eastAsia" w:ascii="仿宋_GB2312" w:hAnsi="仿宋_GB2312" w:eastAsia="仿宋_GB2312" w:cs="仿宋_GB2312"/>
          <w:sz w:val="32"/>
          <w:szCs w:val="32"/>
          <w:lang w:val="zh-CN" w:eastAsia="zh-CN" w:bidi="ar-SA"/>
        </w:rPr>
        <w:t>的规定，可以</w:t>
      </w:r>
      <w:r>
        <w:rPr>
          <w:rFonts w:hint="eastAsia" w:ascii="仿宋_GB2312" w:hAnsi="仿宋_GB2312" w:eastAsia="仿宋_GB2312" w:cs="仿宋_GB2312"/>
          <w:sz w:val="32"/>
          <w:szCs w:val="32"/>
          <w:lang w:val="en-US" w:eastAsia="zh-CN" w:bidi="ar-SA"/>
        </w:rPr>
        <w:t>从重行政处罚；</w:t>
      </w:r>
      <w:r>
        <w:rPr>
          <w:rFonts w:hint="eastAsia" w:ascii="仿宋_GB2312" w:hAnsi="仿宋_GB2312" w:eastAsia="仿宋_GB2312" w:cs="仿宋_GB2312"/>
          <w:sz w:val="32"/>
          <w:szCs w:val="32"/>
          <w:lang w:val="zh-CN" w:eastAsia="zh-CN" w:bidi="ar-SA"/>
        </w:rPr>
        <w:t>当事人系初次违法，</w:t>
      </w:r>
      <w:r>
        <w:rPr>
          <w:rFonts w:hint="eastAsia" w:ascii="仿宋_GB2312" w:hAnsi="仿宋_GB2312" w:eastAsia="仿宋_GB2312" w:cs="仿宋_GB2312"/>
          <w:sz w:val="32"/>
          <w:szCs w:val="32"/>
          <w:lang w:val="en-US" w:eastAsia="zh-CN" w:bidi="ar-SA"/>
        </w:rPr>
        <w:t>依据福建省药品监督管理局《福建省药品监管行政处罚裁量适用细则》第十一条第一款</w:t>
      </w:r>
      <w:r>
        <w:rPr>
          <w:rFonts w:hint="eastAsia" w:ascii="仿宋_GB2312" w:hAnsi="仿宋_GB2312" w:eastAsia="仿宋_GB2312" w:cs="仿宋_GB2312"/>
          <w:sz w:val="32"/>
          <w:szCs w:val="32"/>
          <w:lang w:val="zh-CN" w:eastAsia="zh-CN" w:bidi="ar-SA"/>
        </w:rPr>
        <w:t>第</w:t>
      </w:r>
      <w:r>
        <w:rPr>
          <w:rFonts w:hint="eastAsia" w:ascii="仿宋_GB2312" w:hAnsi="仿宋_GB2312" w:eastAsia="仿宋_GB2312" w:cs="仿宋_GB2312"/>
          <w:sz w:val="32"/>
          <w:szCs w:val="32"/>
          <w:lang w:val="en-US" w:eastAsia="zh-CN" w:bidi="ar-SA"/>
        </w:rPr>
        <w:t>七</w:t>
      </w:r>
      <w:r>
        <w:rPr>
          <w:rFonts w:hint="eastAsia" w:ascii="仿宋_GB2312" w:hAnsi="仿宋_GB2312" w:eastAsia="仿宋_GB2312" w:cs="仿宋_GB2312"/>
          <w:sz w:val="32"/>
          <w:szCs w:val="32"/>
          <w:lang w:val="zh-CN" w:eastAsia="zh-CN" w:bidi="ar-SA"/>
        </w:rPr>
        <w:t>项的规定，可以从轻或者减轻行政处罚。</w:t>
      </w:r>
      <w:r>
        <w:rPr>
          <w:rFonts w:hint="eastAsia" w:ascii="仿宋_GB2312" w:hAnsi="仿宋_GB2312" w:eastAsia="仿宋_GB2312" w:cs="仿宋_GB2312"/>
          <w:sz w:val="32"/>
          <w:szCs w:val="32"/>
          <w:lang w:val="en-US" w:eastAsia="zh-CN" w:bidi="ar-SA"/>
        </w:rPr>
        <w:t>本</w:t>
      </w:r>
      <w:r>
        <w:rPr>
          <w:rFonts w:hint="default" w:ascii="仿宋_GB2312" w:hAnsi="仿宋_GB2312" w:eastAsia="仿宋_GB2312" w:cs="仿宋_GB2312"/>
          <w:sz w:val="32"/>
          <w:szCs w:val="32"/>
          <w:lang w:val="en-US" w:eastAsia="zh-CN" w:bidi="ar-SA"/>
        </w:rPr>
        <w:t>案结合</w:t>
      </w:r>
      <w:r>
        <w:rPr>
          <w:rFonts w:hint="eastAsia" w:ascii="仿宋_GB2312" w:hAnsi="仿宋_GB2312" w:eastAsia="仿宋_GB2312" w:cs="仿宋_GB2312"/>
          <w:sz w:val="32"/>
          <w:szCs w:val="32"/>
          <w:lang w:val="en-US" w:eastAsia="zh-CN" w:bidi="ar-SA"/>
        </w:rPr>
        <w:t>案情</w:t>
      </w:r>
      <w:r>
        <w:rPr>
          <w:rFonts w:hint="default" w:ascii="仿宋_GB2312" w:hAnsi="仿宋_GB2312" w:eastAsia="仿宋_GB2312" w:cs="仿宋_GB2312"/>
          <w:sz w:val="32"/>
          <w:szCs w:val="32"/>
          <w:lang w:val="en-US" w:eastAsia="zh-CN" w:bidi="ar-SA"/>
        </w:rPr>
        <w:t>综合裁量</w:t>
      </w:r>
      <w:r>
        <w:rPr>
          <w:rFonts w:hint="eastAsia" w:ascii="仿宋_GB2312" w:hAnsi="仿宋_GB2312" w:eastAsia="仿宋_GB2312" w:cs="仿宋_GB2312"/>
          <w:sz w:val="32"/>
          <w:szCs w:val="32"/>
          <w:lang w:val="en-US" w:eastAsia="zh-CN" w:bidi="ar-SA"/>
        </w:rPr>
        <w:t>，按从重处罚等级量罚，在处罚</w:t>
      </w:r>
      <w:r>
        <w:rPr>
          <w:rFonts w:hint="default" w:ascii="仿宋_GB2312" w:hAnsi="仿宋_GB2312" w:eastAsia="仿宋_GB2312" w:cs="仿宋_GB2312"/>
          <w:sz w:val="32"/>
          <w:szCs w:val="32"/>
          <w:lang w:val="en-US" w:eastAsia="zh-CN" w:bidi="ar-SA"/>
        </w:rPr>
        <w:t>倍数</w:t>
      </w:r>
      <w:r>
        <w:rPr>
          <w:rFonts w:hint="eastAsia" w:ascii="仿宋_GB2312" w:hAnsi="仿宋_GB2312" w:eastAsia="仿宋_GB2312" w:cs="仿宋_GB2312"/>
          <w:sz w:val="32"/>
          <w:szCs w:val="32"/>
          <w:lang w:val="en-US" w:eastAsia="zh-CN" w:bidi="ar-SA"/>
        </w:rPr>
        <w:t>上予以考虑</w:t>
      </w:r>
      <w:r>
        <w:rPr>
          <w:rFonts w:hint="default" w:ascii="仿宋_GB2312" w:hAnsi="仿宋_GB2312" w:eastAsia="仿宋_GB2312" w:cs="仿宋_GB2312"/>
          <w:sz w:val="32"/>
          <w:szCs w:val="32"/>
          <w:lang w:val="en-US" w:eastAsia="zh-CN" w:bidi="ar-SA"/>
        </w:rPr>
        <w:t>从</w:t>
      </w:r>
      <w:r>
        <w:rPr>
          <w:rFonts w:hint="eastAsia" w:ascii="仿宋_GB2312" w:hAnsi="仿宋_GB2312" w:eastAsia="仿宋_GB2312" w:cs="仿宋_GB2312"/>
          <w:sz w:val="32"/>
          <w:szCs w:val="32"/>
          <w:lang w:val="en-US" w:eastAsia="zh-CN" w:bidi="ar-SA"/>
        </w:rPr>
        <w:t>轻，依据《福建省药品监管行政处罚裁量适用细则》第二十六条第一项的规定，参照《福建省医疗器械行政处罚裁量基准（试行）》QX-12的规定，本案对当事人处货值金额16倍的罚款，即罚款457344元；同时，根据《中华人民共和国行政处罚法》第二十八条第二款的规定，没收违法所得28584元。</w:t>
      </w:r>
    </w:p>
    <w:p>
      <w:pPr>
        <w:spacing w:line="560" w:lineRule="exact"/>
        <w:ind w:firstLine="640" w:firstLineChars="200"/>
        <w:jc w:val="both"/>
        <w:rPr>
          <w:rFonts w:hint="eastAsia" w:ascii="仿宋" w:hAnsi="仿宋" w:eastAsia="仿宋" w:cs="仿宋"/>
          <w:bCs w:val="0"/>
          <w:color w:val="auto"/>
          <w:sz w:val="32"/>
          <w:szCs w:val="32"/>
          <w:lang w:val="en-US" w:eastAsia="zh-CN" w:bidi="ar-SA"/>
        </w:rPr>
      </w:pPr>
      <w:r>
        <w:rPr>
          <w:rFonts w:hint="eastAsia" w:ascii="仿宋" w:hAnsi="仿宋" w:eastAsia="仿宋" w:cs="仿宋"/>
          <w:bCs w:val="0"/>
          <w:color w:val="auto"/>
          <w:sz w:val="32"/>
          <w:szCs w:val="32"/>
          <w:lang w:val="en-US" w:eastAsia="zh-CN" w:bidi="ar-SA"/>
        </w:rPr>
        <w:t>综上，当事人未按照经注册的产品技术要求组织生产医疗器械远红外治疗贴的违法行为，违反了《医疗器械监督管理条例》第三十五条第一款的规定，依据《中华人民共和国行政处罚法》第二十八条第二款、《医疗器械监督管理条例》第八十六条第一款第二项、《福建省药品监管行政处罚裁量适用细则》第二十六条第一项的规定，现责令当事人改正上述违法行为，并决定处罚如下：</w:t>
      </w:r>
    </w:p>
    <w:p>
      <w:pPr>
        <w:spacing w:line="560" w:lineRule="exact"/>
        <w:ind w:firstLine="640" w:firstLineChars="200"/>
        <w:jc w:val="both"/>
        <w:rPr>
          <w:rFonts w:hint="eastAsia" w:ascii="仿宋" w:hAnsi="仿宋" w:eastAsia="仿宋" w:cs="仿宋"/>
          <w:bCs w:val="0"/>
          <w:color w:val="auto"/>
          <w:sz w:val="32"/>
          <w:szCs w:val="32"/>
          <w:lang w:val="en-US" w:eastAsia="zh-CN" w:bidi="ar-SA"/>
        </w:rPr>
      </w:pPr>
      <w:r>
        <w:rPr>
          <w:rFonts w:hint="eastAsia" w:ascii="仿宋" w:hAnsi="仿宋" w:eastAsia="仿宋" w:cs="仿宋"/>
          <w:bCs w:val="0"/>
          <w:color w:val="auto"/>
          <w:sz w:val="32"/>
          <w:szCs w:val="32"/>
          <w:lang w:val="en-US" w:eastAsia="zh-CN" w:bidi="ar-SA"/>
        </w:rPr>
        <w:t>1.没收当事人召回的涉案批次远红外治疗贴175盒</w:t>
      </w:r>
      <w:bookmarkStart w:id="0" w:name="_Hlk18882991"/>
      <w:r>
        <w:rPr>
          <w:rFonts w:hint="eastAsia" w:ascii="仿宋" w:hAnsi="仿宋" w:eastAsia="仿宋" w:cs="仿宋"/>
          <w:bCs w:val="0"/>
          <w:color w:val="auto"/>
          <w:sz w:val="32"/>
          <w:szCs w:val="32"/>
          <w:lang w:val="en-US" w:eastAsia="zh-CN" w:bidi="ar-SA"/>
        </w:rPr>
        <w:t>（每盒3贴装）；</w:t>
      </w:r>
    </w:p>
    <w:bookmarkEnd w:id="0"/>
    <w:p>
      <w:pPr>
        <w:spacing w:line="560" w:lineRule="exact"/>
        <w:ind w:firstLine="640" w:firstLineChars="200"/>
        <w:jc w:val="both"/>
        <w:rPr>
          <w:rFonts w:hint="eastAsia" w:ascii="仿宋" w:hAnsi="仿宋" w:eastAsia="仿宋" w:cs="仿宋"/>
          <w:bCs w:val="0"/>
          <w:color w:val="auto"/>
          <w:sz w:val="32"/>
          <w:szCs w:val="32"/>
          <w:lang w:val="en-US" w:eastAsia="zh-CN" w:bidi="ar-SA"/>
        </w:rPr>
      </w:pPr>
      <w:r>
        <w:rPr>
          <w:rFonts w:hint="eastAsia" w:ascii="仿宋" w:hAnsi="仿宋" w:eastAsia="仿宋" w:cs="仿宋"/>
          <w:bCs w:val="0"/>
          <w:color w:val="auto"/>
          <w:sz w:val="32"/>
          <w:szCs w:val="32"/>
          <w:lang w:val="en-US" w:eastAsia="zh-CN" w:bidi="ar-SA"/>
        </w:rPr>
        <w:t>2.没收违法所得28584元；</w:t>
      </w:r>
    </w:p>
    <w:p>
      <w:pPr>
        <w:spacing w:line="560" w:lineRule="exact"/>
        <w:ind w:firstLine="640" w:firstLineChars="200"/>
        <w:jc w:val="both"/>
        <w:rPr>
          <w:rFonts w:hint="eastAsia" w:ascii="仿宋" w:hAnsi="仿宋" w:eastAsia="仿宋" w:cs="仿宋"/>
          <w:bCs w:val="0"/>
          <w:color w:val="auto"/>
          <w:sz w:val="32"/>
          <w:szCs w:val="32"/>
          <w:lang w:val="en-US" w:eastAsia="zh-CN" w:bidi="ar-SA"/>
        </w:rPr>
      </w:pPr>
      <w:r>
        <w:rPr>
          <w:rFonts w:hint="eastAsia" w:ascii="仿宋" w:hAnsi="仿宋" w:eastAsia="仿宋" w:cs="仿宋"/>
          <w:bCs w:val="0"/>
          <w:color w:val="auto"/>
          <w:sz w:val="32"/>
          <w:szCs w:val="32"/>
          <w:lang w:val="en-US" w:eastAsia="zh-CN" w:bidi="ar-SA"/>
        </w:rPr>
        <w:t>3.罚款457344元。</w:t>
      </w:r>
    </w:p>
    <w:p>
      <w:pPr>
        <w:spacing w:line="560" w:lineRule="exact"/>
        <w:ind w:firstLine="640" w:firstLineChars="200"/>
        <w:jc w:val="both"/>
        <w:rPr>
          <w:rFonts w:hint="eastAsia" w:ascii="仿宋" w:hAnsi="仿宋" w:eastAsia="仿宋" w:cs="仿宋"/>
          <w:bCs w:val="0"/>
          <w:color w:val="auto"/>
          <w:sz w:val="32"/>
          <w:szCs w:val="32"/>
          <w:lang w:val="en-US" w:eastAsia="zh-CN" w:bidi="ar-SA"/>
        </w:rPr>
      </w:pPr>
      <w:r>
        <w:rPr>
          <w:rFonts w:hint="eastAsia" w:ascii="仿宋" w:hAnsi="仿宋" w:eastAsia="仿宋" w:cs="仿宋"/>
          <w:bCs w:val="0"/>
          <w:color w:val="auto"/>
          <w:sz w:val="32"/>
          <w:szCs w:val="32"/>
          <w:lang w:val="en-US" w:eastAsia="zh-CN" w:bidi="ar-SA"/>
        </w:rPr>
        <w:t>上述罚没款合计485928元整（肆拾捌万伍仟玖佰贰拾捌元整）。</w:t>
      </w:r>
    </w:p>
    <w:p>
      <w:pPr>
        <w:spacing w:line="560" w:lineRule="exact"/>
        <w:ind w:firstLine="640" w:firstLineChars="200"/>
        <w:jc w:val="both"/>
        <w:rPr>
          <w:rFonts w:hint="eastAsia" w:ascii="仿宋" w:hAnsi="仿宋" w:eastAsia="仿宋" w:cs="仿宋"/>
          <w:bCs w:val="0"/>
          <w:color w:val="auto"/>
          <w:sz w:val="32"/>
          <w:szCs w:val="32"/>
          <w:lang w:val="en-US" w:eastAsia="zh-CN" w:bidi="ar-SA"/>
        </w:rPr>
      </w:pPr>
      <w:r>
        <w:rPr>
          <w:rFonts w:hint="eastAsia" w:ascii="仿宋" w:hAnsi="仿宋" w:eastAsia="仿宋" w:cs="仿宋"/>
          <w:bCs w:val="0"/>
          <w:color w:val="auto"/>
          <w:sz w:val="32"/>
          <w:szCs w:val="32"/>
          <w:lang w:val="en-US" w:eastAsia="zh-CN" w:bidi="ar-SA"/>
        </w:rPr>
        <w:t>当事人应当自收到本行政处罚决定书之日起十五日内，缴纳上述罚没款。当事人根据本局开具的《福建省非税收收入缴款通知书》，自行选择缴款方式。到期不缴纳罚款的，依据《中华人民共和国行政处罚法》第七十二条的规定，本局将每日按罚款数额的百分之三加处罚款，并依法申请人民法院强制执行。</w:t>
      </w:r>
    </w:p>
    <w:p>
      <w:pPr>
        <w:spacing w:line="560" w:lineRule="exact"/>
        <w:ind w:firstLine="640" w:firstLineChars="200"/>
        <w:jc w:val="both"/>
        <w:rPr>
          <w:rFonts w:hint="eastAsia" w:ascii="仿宋" w:hAnsi="仿宋" w:eastAsia="仿宋" w:cs="仿宋"/>
          <w:bCs w:val="0"/>
          <w:color w:val="auto"/>
          <w:sz w:val="32"/>
          <w:szCs w:val="32"/>
          <w:lang w:val="en-US" w:eastAsia="zh-CN" w:bidi="ar-SA"/>
        </w:rPr>
      </w:pPr>
      <w:r>
        <w:rPr>
          <w:rFonts w:hint="eastAsia" w:ascii="仿宋" w:hAnsi="仿宋" w:eastAsia="仿宋" w:cs="仿宋"/>
          <w:bCs w:val="0"/>
          <w:color w:val="auto"/>
          <w:sz w:val="32"/>
          <w:szCs w:val="32"/>
          <w:lang w:val="zh-CN" w:eastAsia="zh-CN" w:bidi="ar-SA"/>
        </w:rPr>
        <w:t>如你单位不服本行政处罚决定，可以在收到本行政处罚决定书之日起六十日内向福建省人民政府申请行政复议；也可以在六个月内依法向福州市鼓楼区人民法院提起行政诉讼。申请行政复议或者提起行政诉讼期间，行政处罚不停止执行。</w:t>
      </w:r>
    </w:p>
    <w:p>
      <w:pPr>
        <w:spacing w:line="560" w:lineRule="exact"/>
        <w:ind w:firstLine="640" w:firstLineChars="200"/>
        <w:jc w:val="both"/>
        <w:rPr>
          <w:rFonts w:hint="eastAsia" w:ascii="仿宋" w:hAnsi="仿宋" w:eastAsia="仿宋" w:cs="仿宋"/>
          <w:bCs w:val="0"/>
          <w:color w:val="auto"/>
          <w:sz w:val="32"/>
          <w:szCs w:val="32"/>
          <w:lang w:val="en-US" w:eastAsia="zh-CN" w:bidi="ar-SA"/>
        </w:rPr>
      </w:pPr>
    </w:p>
    <w:p>
      <w:pPr>
        <w:spacing w:line="560" w:lineRule="exact"/>
        <w:ind w:firstLine="640" w:firstLineChars="200"/>
        <w:jc w:val="both"/>
        <w:rPr>
          <w:rFonts w:hint="eastAsia" w:ascii="仿宋" w:hAnsi="仿宋" w:eastAsia="仿宋" w:cs="仿宋"/>
          <w:bCs w:val="0"/>
          <w:color w:val="auto"/>
          <w:sz w:val="32"/>
          <w:szCs w:val="32"/>
          <w:lang w:val="en-US" w:eastAsia="zh-CN" w:bidi="ar-SA"/>
        </w:rPr>
      </w:pPr>
    </w:p>
    <w:p>
      <w:pPr>
        <w:keepNext w:val="0"/>
        <w:keepLines w:val="0"/>
        <w:pageBreakBefore w:val="0"/>
        <w:widowControl/>
        <w:tabs>
          <w:tab w:val="left" w:pos="5667"/>
        </w:tabs>
        <w:kinsoku w:val="0"/>
        <w:wordWrap w:val="0"/>
        <w:overflowPunct/>
        <w:topLinePunct w:val="0"/>
        <w:autoSpaceDE w:val="0"/>
        <w:autoSpaceDN w:val="0"/>
        <w:bidi/>
        <w:adjustRightInd w:val="0"/>
        <w:snapToGrid w:val="0"/>
        <w:spacing w:line="360" w:lineRule="auto"/>
        <w:ind w:left="0" w:leftChars="0" w:right="840" w:rightChars="400" w:firstLine="0" w:firstLineChars="0"/>
        <w:jc w:val="both"/>
        <w:textAlignment w:val="baseline"/>
        <w:rPr>
          <w:rFonts w:hint="default" w:ascii="仿宋" w:hAnsi="仿宋" w:eastAsia="仿宋" w:cs="仿宋"/>
          <w:spacing w:val="0"/>
          <w:w w:val="100"/>
          <w:sz w:val="32"/>
          <w:szCs w:val="32"/>
          <w:lang w:val="en-US" w:eastAsia="zh-CN"/>
        </w:rPr>
      </w:pPr>
      <w:r>
        <w:rPr>
          <w:rFonts w:hint="eastAsia" w:ascii="仿宋" w:hAnsi="仿宋" w:eastAsia="仿宋" w:cs="仿宋"/>
          <w:spacing w:val="0"/>
          <w:w w:val="100"/>
          <w:sz w:val="32"/>
          <w:szCs w:val="32"/>
          <w:lang w:val="en-US" w:eastAsia="zh-CN"/>
        </w:rPr>
        <w:t xml:space="preserve">福建省药品监督管理局  </w:t>
      </w:r>
    </w:p>
    <w:p>
      <w:pPr>
        <w:keepNext w:val="0"/>
        <w:keepLines w:val="0"/>
        <w:pageBreakBefore w:val="0"/>
        <w:widowControl/>
        <w:tabs>
          <w:tab w:val="left" w:pos="5667"/>
        </w:tabs>
        <w:kinsoku w:val="0"/>
        <w:wordWrap w:val="0"/>
        <w:overflowPunct/>
        <w:topLinePunct w:val="0"/>
        <w:autoSpaceDE w:val="0"/>
        <w:autoSpaceDN w:val="0"/>
        <w:bidi/>
        <w:adjustRightInd w:val="0"/>
        <w:snapToGrid w:val="0"/>
        <w:spacing w:line="20" w:lineRule="exact"/>
        <w:ind w:left="0" w:leftChars="0" w:right="840" w:rightChars="400" w:firstLine="0" w:firstLineChars="0"/>
        <w:jc w:val="left"/>
        <w:textAlignment w:val="baseline"/>
        <w:rPr>
          <w:rFonts w:hint="default" w:ascii="仿宋" w:hAnsi="仿宋" w:eastAsia="仿宋" w:cs="仿宋"/>
          <w:color w:val="FFFFFF" w:themeColor="background1"/>
          <w:spacing w:val="0"/>
          <w:w w:val="100"/>
          <w:sz w:val="32"/>
          <w:szCs w:val="32"/>
          <w:lang w:val="en-US" w:eastAsia="zh-CN"/>
          <w14:textFill>
            <w14:solidFill>
              <w14:schemeClr w14:val="bg1"/>
            </w14:solidFill>
          </w14:textFill>
        </w:rPr>
      </w:pPr>
      <w:r>
        <w:rPr>
          <w:rFonts w:hint="eastAsia" w:ascii="仿宋" w:hAnsi="仿宋" w:eastAsia="仿宋" w:cs="仿宋"/>
          <w:color w:val="FFFFFF" w:themeColor="background1"/>
          <w:spacing w:val="0"/>
          <w:w w:val="100"/>
          <w:sz w:val="32"/>
          <w:szCs w:val="32"/>
          <w:lang w:val="en-US" w:eastAsia="zh-CN"/>
          <w14:textFill>
            <w14:solidFill>
              <w14:schemeClr w14:val="bg1"/>
            </w14:solidFill>
          </w14:textFill>
        </w:rPr>
        <w:t>电子盖章</w:t>
      </w: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r>
        <w:rPr>
          <w:rFonts w:hint="eastAsia" w:ascii="仿宋_GB2312" w:hAnsi="仿宋_GB2312" w:eastAsia="仿宋_GB2312" w:cs="仿宋_GB2312"/>
          <w:snapToGrid w:val="0"/>
          <w:color w:val="000000"/>
          <w:kern w:val="0"/>
          <w:sz w:val="31"/>
          <w:szCs w:val="31"/>
          <w:lang w:val="en-US" w:eastAsia="zh-CN" w:bidi="ar"/>
        </w:rPr>
        <w:t xml:space="preserve">                                </w:t>
      </w:r>
      <w:r>
        <w:rPr>
          <w:rFonts w:hint="eastAsia" w:ascii="仿宋" w:hAnsi="仿宋" w:eastAsia="仿宋" w:cs="仿宋"/>
          <w:sz w:val="32"/>
          <w:lang w:val="en-US" w:eastAsia="zh-CN"/>
        </w:rPr>
        <w:t>2026</w:t>
      </w:r>
      <w:r>
        <w:rPr>
          <w:rFonts w:hint="eastAsia" w:ascii="仿宋" w:hAnsi="仿宋" w:eastAsia="仿宋" w:cs="仿宋"/>
          <w:spacing w:val="0"/>
          <w:w w:val="100"/>
          <w:sz w:val="32"/>
          <w:szCs w:val="32"/>
          <w:lang w:val="en-US" w:eastAsia="zh-CN"/>
        </w:rPr>
        <w:t>年2月12日</w:t>
      </w:r>
      <w:r>
        <w:rPr>
          <w:rFonts w:ascii="仿宋" w:hAnsi="仿宋" w:eastAsia="仿宋" w:cs="仿宋"/>
          <w:color w:val="FFFFFF" w:themeColor="background1"/>
          <w:spacing w:val="0"/>
          <w:w w:val="100"/>
          <w:sz w:val="11"/>
          <w:szCs w:val="11"/>
          <w14:textFill>
            <w14:solidFill>
              <w14:schemeClr w14:val="bg1"/>
            </w14:solidFill>
          </w14:textFill>
        </w:rPr>
        <w:t>章</w:t>
      </w:r>
      <w:r>
        <w:rPr>
          <w:rFonts w:ascii="仿宋" w:hAnsi="仿宋" w:eastAsia="仿宋" w:cs="仿宋"/>
          <w:color w:val="000000" w:themeColor="text1"/>
          <w:spacing w:val="0"/>
          <w:w w:val="100"/>
          <w:sz w:val="21"/>
          <w:szCs w:val="21"/>
          <w14:textFill>
            <w14:solidFill>
              <w14:schemeClr w14:val="tx1"/>
            </w14:solidFill>
          </w14:textFill>
        </w:rPr>
        <w:t xml:space="preserve"> </w:t>
      </w:r>
      <w:bookmarkStart w:id="1" w:name="_GoBack"/>
      <w:bookmarkEnd w:id="1"/>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ascii="仿宋" w:hAnsi="仿宋" w:eastAsia="仿宋" w:cs="仿宋"/>
          <w:color w:val="000000" w:themeColor="text1"/>
          <w:spacing w:val="0"/>
          <w:w w:val="100"/>
          <w:sz w:val="21"/>
          <w:szCs w:val="21"/>
          <w14:textFill>
            <w14:solidFill>
              <w14:schemeClr w14:val="tx1"/>
            </w14:solidFill>
          </w14:textFill>
        </w:rPr>
      </w:pP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hint="default" w:ascii="仿宋" w:hAnsi="仿宋" w:eastAsia="仿宋" w:cs="仿宋"/>
          <w:color w:val="000000" w:themeColor="text1"/>
          <w:spacing w:val="0"/>
          <w:w w:val="100"/>
          <w:sz w:val="21"/>
          <w:szCs w:val="21"/>
          <w:lang w:val="en-US" w:eastAsia="zh-CN"/>
          <w14:textFill>
            <w14:solidFill>
              <w14:schemeClr w14:val="tx1"/>
            </w14:solidFill>
          </w14:textFill>
        </w:rPr>
      </w:pPr>
    </w:p>
    <w:p>
      <w:pPr>
        <w:spacing w:before="105" w:line="183" w:lineRule="auto"/>
        <w:ind w:firstLine="403"/>
        <w:jc w:val="center"/>
        <w:rPr>
          <w:rFonts w:ascii="黑体" w:hAnsi="黑体" w:eastAsia="黑体" w:cs="黑体"/>
          <w:color w:val="231F20"/>
          <w:spacing w:val="0"/>
          <w:w w:val="100"/>
          <w:sz w:val="32"/>
          <w:szCs w:val="32"/>
        </w:rPr>
      </w:pPr>
    </w:p>
    <w:p>
      <w:pPr>
        <w:spacing w:before="105" w:line="183" w:lineRule="auto"/>
        <w:ind w:firstLine="403"/>
        <w:jc w:val="center"/>
        <w:rPr>
          <w:rFonts w:ascii="Microsoft JhengHei"/>
          <w:spacing w:val="0"/>
          <w:w w:val="100"/>
        </w:rPr>
      </w:pPr>
      <w:r>
        <w:rPr>
          <w:rFonts w:hint="eastAsia" w:ascii="仿宋" w:hAnsi="仿宋" w:eastAsia="仿宋" w:cs="仿宋"/>
          <w:b/>
          <w:bCs/>
          <w:spacing w:val="0"/>
          <w:w w:val="100"/>
          <w:sz w:val="28"/>
          <w:szCs w:val="28"/>
          <w:u w:val="none"/>
          <w:lang w:val="en-US" w:eastAsia="zh-CN"/>
        </w:rPr>
        <w:t>本局将依法向社会公开行政处罚决定信息</w:t>
      </w:r>
    </w:p>
    <w:p>
      <w:pPr>
        <w:spacing w:line="26" w:lineRule="exact"/>
        <w:textAlignment w:val="center"/>
        <w:rPr>
          <w:spacing w:val="0"/>
          <w:w w:val="100"/>
        </w:rPr>
      </w:pPr>
      <w:r>
        <w:rPr>
          <w:spacing w:val="0"/>
          <w:w w:val="100"/>
        </w:rPr>
        <w:drawing>
          <wp:inline distT="0" distB="0" distL="0" distR="0">
            <wp:extent cx="5550535" cy="15875"/>
            <wp:effectExtent l="0" t="0" r="12065" b="6985"/>
            <wp:docPr id="229" name="IM 229"/>
            <wp:cNvGraphicFramePr/>
            <a:graphic xmlns:a="http://schemas.openxmlformats.org/drawingml/2006/main">
              <a:graphicData uri="http://schemas.openxmlformats.org/drawingml/2006/picture">
                <pic:pic xmlns:pic="http://schemas.openxmlformats.org/drawingml/2006/picture">
                  <pic:nvPicPr>
                    <pic:cNvPr id="229" name="IM 229"/>
                    <pic:cNvPicPr/>
                  </pic:nvPicPr>
                  <pic:blipFill>
                    <a:blip r:embed="rId6"/>
                    <a:stretch>
                      <a:fillRect/>
                    </a:stretch>
                  </pic:blipFill>
                  <pic:spPr>
                    <a:xfrm>
                      <a:off x="0" y="0"/>
                      <a:ext cx="5550535" cy="16509"/>
                    </a:xfrm>
                    <a:prstGeom prst="rect">
                      <a:avLst/>
                    </a:prstGeom>
                  </pic:spPr>
                </pic:pic>
              </a:graphicData>
            </a:graphic>
          </wp:inline>
        </w:drawing>
      </w:r>
    </w:p>
    <w:p>
      <w:pPr>
        <w:spacing w:before="106" w:line="183" w:lineRule="auto"/>
        <w:ind w:firstLine="231"/>
        <w:rPr>
          <w:spacing w:val="0"/>
          <w:w w:val="100"/>
        </w:rPr>
      </w:pPr>
      <w:r>
        <w:rPr>
          <w:rFonts w:ascii="仿宋" w:hAnsi="仿宋" w:eastAsia="仿宋" w:cs="仿宋"/>
          <w:spacing w:val="0"/>
          <w:w w:val="100"/>
          <w:sz w:val="32"/>
          <w:szCs w:val="32"/>
        </w:rPr>
        <w:t>本文书一</w:t>
      </w:r>
      <w:r>
        <w:rPr>
          <w:rFonts w:ascii="仿宋" w:hAnsi="仿宋" w:eastAsia="仿宋" w:cs="仿宋"/>
          <w:spacing w:val="0"/>
          <w:w w:val="100"/>
          <w:sz w:val="32"/>
          <w:szCs w:val="32"/>
          <w:u w:val="none"/>
        </w:rPr>
        <w:t>式</w:t>
      </w:r>
      <w:r>
        <w:rPr>
          <w:rFonts w:hint="eastAsia" w:ascii="仿宋" w:hAnsi="仿宋" w:eastAsia="仿宋" w:cs="仿宋"/>
          <w:spacing w:val="0"/>
          <w:w w:val="100"/>
          <w:sz w:val="32"/>
          <w:szCs w:val="32"/>
          <w:u w:val="none"/>
          <w:lang w:val="en-US" w:eastAsia="zh-CN"/>
        </w:rPr>
        <w:t>两</w:t>
      </w:r>
      <w:r>
        <w:rPr>
          <w:rFonts w:ascii="仿宋" w:hAnsi="仿宋" w:eastAsia="仿宋" w:cs="仿宋"/>
          <w:spacing w:val="0"/>
          <w:w w:val="100"/>
          <w:sz w:val="32"/>
          <w:szCs w:val="32"/>
          <w:u w:val="none"/>
        </w:rPr>
        <w:t>份，</w:t>
      </w:r>
      <w:r>
        <w:rPr>
          <w:rFonts w:hint="eastAsia" w:ascii="仿宋" w:hAnsi="仿宋" w:eastAsia="仿宋" w:cs="仿宋"/>
          <w:spacing w:val="0"/>
          <w:w w:val="100"/>
          <w:sz w:val="32"/>
          <w:szCs w:val="32"/>
          <w:u w:val="none"/>
          <w:lang w:val="en-US" w:eastAsia="zh-CN"/>
        </w:rPr>
        <w:t>一</w:t>
      </w:r>
      <w:r>
        <w:rPr>
          <w:rFonts w:ascii="仿宋" w:hAnsi="仿宋" w:eastAsia="仿宋" w:cs="仿宋"/>
          <w:spacing w:val="0"/>
          <w:w w:val="100"/>
          <w:sz w:val="32"/>
          <w:szCs w:val="32"/>
          <w:u w:val="none"/>
        </w:rPr>
        <w:t>份送达，</w:t>
      </w:r>
      <w:r>
        <w:rPr>
          <w:rFonts w:hint="eastAsia" w:ascii="仿宋" w:hAnsi="仿宋" w:eastAsia="仿宋" w:cs="仿宋"/>
          <w:spacing w:val="0"/>
          <w:w w:val="100"/>
          <w:sz w:val="32"/>
          <w:szCs w:val="32"/>
          <w:u w:val="none"/>
          <w:lang w:val="en-US" w:eastAsia="zh-CN"/>
        </w:rPr>
        <w:t>一</w:t>
      </w:r>
      <w:r>
        <w:rPr>
          <w:rFonts w:ascii="仿宋" w:hAnsi="仿宋" w:eastAsia="仿宋" w:cs="仿宋"/>
          <w:spacing w:val="0"/>
          <w:w w:val="100"/>
          <w:sz w:val="32"/>
          <w:szCs w:val="32"/>
          <w:u w:val="none"/>
        </w:rPr>
        <w:t>份归档</w:t>
      </w:r>
      <w:r>
        <w:rPr>
          <w:rFonts w:hint="eastAsia" w:ascii="仿宋" w:hAnsi="仿宋" w:eastAsia="仿宋" w:cs="仿宋"/>
          <w:spacing w:val="0"/>
          <w:w w:val="100"/>
          <w:sz w:val="32"/>
          <w:szCs w:val="32"/>
          <w:u w:val="none"/>
          <w:lang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Microsoft JhengHe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523EB0"/>
    <w:rsid w:val="006F7CF7"/>
    <w:rsid w:val="00984DAE"/>
    <w:rsid w:val="016A6FD7"/>
    <w:rsid w:val="04293CFB"/>
    <w:rsid w:val="048605CC"/>
    <w:rsid w:val="05E10046"/>
    <w:rsid w:val="0AC44356"/>
    <w:rsid w:val="0B3440E4"/>
    <w:rsid w:val="0B754EF6"/>
    <w:rsid w:val="0D447276"/>
    <w:rsid w:val="0DBD22EC"/>
    <w:rsid w:val="0DC12675"/>
    <w:rsid w:val="10014FAA"/>
    <w:rsid w:val="11621A79"/>
    <w:rsid w:val="116E6670"/>
    <w:rsid w:val="12244F80"/>
    <w:rsid w:val="1444190A"/>
    <w:rsid w:val="14515DD5"/>
    <w:rsid w:val="1EDF2B6B"/>
    <w:rsid w:val="22813D29"/>
    <w:rsid w:val="23AD74CB"/>
    <w:rsid w:val="24392B0D"/>
    <w:rsid w:val="24B9255E"/>
    <w:rsid w:val="25205A7B"/>
    <w:rsid w:val="264E7E89"/>
    <w:rsid w:val="289A78F2"/>
    <w:rsid w:val="28F2772E"/>
    <w:rsid w:val="2A306760"/>
    <w:rsid w:val="2C545A11"/>
    <w:rsid w:val="2FA8323D"/>
    <w:rsid w:val="2FAD177C"/>
    <w:rsid w:val="2FEFD9E3"/>
    <w:rsid w:val="30175A94"/>
    <w:rsid w:val="309D4424"/>
    <w:rsid w:val="33B26438"/>
    <w:rsid w:val="35543581"/>
    <w:rsid w:val="37DFE759"/>
    <w:rsid w:val="39B20F40"/>
    <w:rsid w:val="3AFB3A56"/>
    <w:rsid w:val="3AFE1F63"/>
    <w:rsid w:val="3C926E07"/>
    <w:rsid w:val="3CFE26EE"/>
    <w:rsid w:val="3E8D1F7B"/>
    <w:rsid w:val="3FEE67E5"/>
    <w:rsid w:val="414D154E"/>
    <w:rsid w:val="41913B31"/>
    <w:rsid w:val="41F53393"/>
    <w:rsid w:val="42530DE6"/>
    <w:rsid w:val="42E27DDC"/>
    <w:rsid w:val="44185E43"/>
    <w:rsid w:val="447253F1"/>
    <w:rsid w:val="452A2718"/>
    <w:rsid w:val="464F5D68"/>
    <w:rsid w:val="47BA0375"/>
    <w:rsid w:val="4AB4263E"/>
    <w:rsid w:val="526470DD"/>
    <w:rsid w:val="55F46D30"/>
    <w:rsid w:val="56E7898F"/>
    <w:rsid w:val="591F781C"/>
    <w:rsid w:val="5B7F64FB"/>
    <w:rsid w:val="5BF3746A"/>
    <w:rsid w:val="5C58107B"/>
    <w:rsid w:val="5C7B2FBB"/>
    <w:rsid w:val="5E457324"/>
    <w:rsid w:val="5FFDF14B"/>
    <w:rsid w:val="60756EDD"/>
    <w:rsid w:val="63D74F7B"/>
    <w:rsid w:val="643D19DF"/>
    <w:rsid w:val="658B24C1"/>
    <w:rsid w:val="65CE23AE"/>
    <w:rsid w:val="66C739CD"/>
    <w:rsid w:val="69293CA2"/>
    <w:rsid w:val="696372B1"/>
    <w:rsid w:val="6A252073"/>
    <w:rsid w:val="6AB7056B"/>
    <w:rsid w:val="6AB959E6"/>
    <w:rsid w:val="6BCC4C3B"/>
    <w:rsid w:val="6BE5323D"/>
    <w:rsid w:val="6C3A79B0"/>
    <w:rsid w:val="751B33A8"/>
    <w:rsid w:val="77365F93"/>
    <w:rsid w:val="77D71596"/>
    <w:rsid w:val="787C9E1D"/>
    <w:rsid w:val="78D37FAF"/>
    <w:rsid w:val="795B53DC"/>
    <w:rsid w:val="7A08324D"/>
    <w:rsid w:val="7A41719B"/>
    <w:rsid w:val="7AA03EC1"/>
    <w:rsid w:val="7C091DFF"/>
    <w:rsid w:val="7D0A7D18"/>
    <w:rsid w:val="7DA55C93"/>
    <w:rsid w:val="7DDF6C81"/>
    <w:rsid w:val="7F7D0C75"/>
    <w:rsid w:val="7FFFD0A5"/>
    <w:rsid w:val="87FFBD91"/>
    <w:rsid w:val="BFDFF45E"/>
    <w:rsid w:val="C4A795A8"/>
    <w:rsid w:val="CB3F84B5"/>
    <w:rsid w:val="DBFF6053"/>
    <w:rsid w:val="E7BA3416"/>
    <w:rsid w:val="EBBA09B0"/>
    <w:rsid w:val="EEFDD783"/>
    <w:rsid w:val="EFC52CD3"/>
    <w:rsid w:val="F7DF2B7A"/>
    <w:rsid w:val="F9DA050D"/>
    <w:rsid w:val="FBECB863"/>
    <w:rsid w:val="FF160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Body Text"/>
    <w:basedOn w:val="1"/>
    <w:qFormat/>
    <w:uiPriority w:val="0"/>
    <w:pPr>
      <w:ind w:left="220"/>
    </w:pPr>
    <w:rPr>
      <w:rFonts w:ascii="宋体" w:hAnsi="宋体"/>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Title"/>
    <w:basedOn w:val="1"/>
    <w:next w:val="1"/>
    <w:qFormat/>
    <w:uiPriority w:val="0"/>
    <w:pPr>
      <w:spacing w:line="199" w:lineRule="auto"/>
      <w:jc w:val="center"/>
      <w:outlineLvl w:val="0"/>
    </w:pPr>
    <w:rPr>
      <w:rFonts w:ascii="Microsoft JhengHei" w:hAnsi="Microsoft JhengHei" w:eastAsia="Microsoft JhengHei" w:cs="Microsoft JhengHei"/>
      <w:spacing w:val="-2"/>
      <w:sz w:val="44"/>
      <w:szCs w:val="44"/>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305</Words>
  <Characters>413</Characters>
  <Lines>0</Lines>
  <Paragraphs>0</Paragraphs>
  <TotalTime>24</TotalTime>
  <ScaleCrop>false</ScaleCrop>
  <LinksUpToDate>false</LinksUpToDate>
  <CharactersWithSpaces>1064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2024-03-02T10:14:00Z</dcterms:created>
  <dc:creator>admin</dc:creator>
  <cp:lastModifiedBy>邓绪铨</cp:lastModifiedBy>
  <cp:lastPrinted>2026-02-06T10:16:00Z</cp:lastPrinted>
  <dcterms:modified xsi:type="dcterms:W3CDTF">2026-02-13T13:07:34Z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B2743B9958540938E6FD8369A87C1263</vt:lpwstr>
  </property>
</Properties>
</file>