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rPr>
      </w:pPr>
      <w:r>
        <w:rPr>
          <w:rFonts w:hint="eastAsia" w:ascii="黑体" w:eastAsia="黑体"/>
          <w:sz w:val="32"/>
          <w:szCs w:val="32"/>
        </w:rPr>
        <w:t>附件</w:t>
      </w:r>
      <w:r>
        <w:rPr>
          <w:rFonts w:hint="eastAsia" w:ascii="黑体" w:eastAsia="黑体"/>
          <w:sz w:val="32"/>
          <w:szCs w:val="32"/>
          <w:lang w:eastAsia="zh-CN"/>
        </w:rPr>
        <w:t>三</w:t>
      </w:r>
    </w:p>
    <w:p>
      <w:pPr>
        <w:jc w:val="center"/>
        <w:rPr>
          <w:rFonts w:hint="eastAsia" w:ascii="宋体" w:hAnsi="宋体" w:cs="宋体"/>
          <w:b/>
          <w:color w:val="000000"/>
          <w:kern w:val="0"/>
          <w:sz w:val="40"/>
          <w:szCs w:val="40"/>
        </w:rPr>
      </w:pPr>
    </w:p>
    <w:p>
      <w:pPr>
        <w:jc w:val="center"/>
        <w:rPr>
          <w:rFonts w:hint="eastAsia" w:ascii="宋体" w:hAnsi="宋体" w:eastAsia="宋体" w:cs="宋体"/>
          <w:b/>
          <w:color w:val="000000"/>
          <w:kern w:val="0"/>
          <w:sz w:val="40"/>
          <w:szCs w:val="40"/>
          <w:lang w:eastAsia="zh-CN"/>
        </w:rPr>
      </w:pPr>
      <w:r>
        <w:rPr>
          <w:rFonts w:hint="eastAsia" w:ascii="宋体" w:hAnsi="宋体" w:cs="宋体"/>
          <w:b/>
          <w:color w:val="000000"/>
          <w:kern w:val="0"/>
          <w:sz w:val="40"/>
          <w:szCs w:val="40"/>
        </w:rPr>
        <w:t>福建省药品</w:t>
      </w:r>
      <w:r>
        <w:rPr>
          <w:rFonts w:hint="eastAsia" w:ascii="宋体" w:hAnsi="宋体" w:cs="宋体"/>
          <w:b/>
          <w:color w:val="000000"/>
          <w:kern w:val="0"/>
          <w:sz w:val="40"/>
          <w:szCs w:val="40"/>
          <w:lang w:eastAsia="zh-CN"/>
        </w:rPr>
        <w:t>审核查验中心办公</w:t>
      </w:r>
      <w:r>
        <w:rPr>
          <w:rFonts w:hint="eastAsia" w:ascii="宋体" w:hAnsi="宋体" w:cs="宋体"/>
          <w:b/>
          <w:color w:val="000000"/>
          <w:kern w:val="0"/>
          <w:sz w:val="40"/>
          <w:szCs w:val="40"/>
        </w:rPr>
        <w:t>家具采购</w:t>
      </w:r>
      <w:r>
        <w:rPr>
          <w:rFonts w:hint="eastAsia" w:ascii="宋体" w:hAnsi="宋体" w:cs="宋体"/>
          <w:b/>
          <w:color w:val="000000"/>
          <w:kern w:val="0"/>
          <w:sz w:val="40"/>
          <w:szCs w:val="40"/>
          <w:lang w:eastAsia="zh-CN"/>
        </w:rPr>
        <w:t>清单</w:t>
      </w:r>
    </w:p>
    <w:p>
      <w:pPr>
        <w:rPr>
          <w:rFonts w:ascii="宋体" w:hAnsi="宋体" w:cs="宋体"/>
          <w:color w:val="000000"/>
          <w:kern w:val="0"/>
          <w:szCs w:val="21"/>
        </w:rPr>
      </w:pPr>
    </w:p>
    <w:tbl>
      <w:tblPr>
        <w:tblStyle w:val="5"/>
        <w:tblW w:w="9818" w:type="dxa"/>
        <w:jc w:val="center"/>
        <w:tblLayout w:type="fixed"/>
        <w:tblCellMar>
          <w:top w:w="0" w:type="dxa"/>
          <w:left w:w="108" w:type="dxa"/>
          <w:bottom w:w="0" w:type="dxa"/>
          <w:right w:w="108" w:type="dxa"/>
        </w:tblCellMar>
      </w:tblPr>
      <w:tblGrid>
        <w:gridCol w:w="388"/>
        <w:gridCol w:w="651"/>
        <w:gridCol w:w="4313"/>
        <w:gridCol w:w="3082"/>
        <w:gridCol w:w="413"/>
        <w:gridCol w:w="971"/>
      </w:tblGrid>
      <w:tr>
        <w:tblPrEx>
          <w:tblCellMar>
            <w:top w:w="0" w:type="dxa"/>
            <w:left w:w="108" w:type="dxa"/>
            <w:bottom w:w="0" w:type="dxa"/>
            <w:right w:w="108" w:type="dxa"/>
          </w:tblCellMar>
        </w:tblPrEx>
        <w:trPr>
          <w:trHeight w:val="421" w:hRule="atLeast"/>
          <w:jc w:val="center"/>
        </w:trPr>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84" w:leftChars="-40" w:right="-145" w:rightChars="-69"/>
              <w:jc w:val="center"/>
              <w:textAlignment w:val="auto"/>
              <w:rPr>
                <w:rFonts w:ascii="宋体" w:hAnsi="宋体" w:cs="宋体"/>
                <w:b/>
                <w:bCs/>
                <w:color w:val="000000"/>
                <w:sz w:val="24"/>
              </w:rPr>
            </w:pPr>
            <w:r>
              <w:rPr>
                <w:rFonts w:hint="eastAsia" w:ascii="宋体" w:hAnsi="宋体"/>
                <w:b/>
                <w:bCs/>
                <w:color w:val="000000"/>
                <w:sz w:val="24"/>
              </w:rPr>
              <w:t>序号</w:t>
            </w:r>
          </w:p>
        </w:tc>
        <w:tc>
          <w:tcPr>
            <w:tcW w:w="65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84" w:leftChars="-40" w:right="-145" w:rightChars="-69"/>
              <w:jc w:val="center"/>
              <w:textAlignment w:val="auto"/>
              <w:rPr>
                <w:rFonts w:ascii="宋体" w:hAnsi="宋体"/>
                <w:b/>
                <w:bCs/>
                <w:color w:val="000000"/>
                <w:sz w:val="24"/>
              </w:rPr>
            </w:pPr>
            <w:r>
              <w:rPr>
                <w:rFonts w:hint="eastAsia" w:ascii="宋体" w:hAnsi="宋体"/>
                <w:b/>
                <w:bCs/>
                <w:color w:val="000000"/>
                <w:sz w:val="24"/>
              </w:rPr>
              <w:t>产品名称</w:t>
            </w:r>
          </w:p>
        </w:tc>
        <w:tc>
          <w:tcPr>
            <w:tcW w:w="43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sz w:val="24"/>
              </w:rPr>
            </w:pPr>
            <w:r>
              <w:rPr>
                <w:rFonts w:hint="eastAsia" w:ascii="宋体" w:hAnsi="宋体"/>
                <w:b/>
                <w:bCs/>
                <w:color w:val="000000"/>
                <w:sz w:val="24"/>
              </w:rPr>
              <w:t>详细参数</w:t>
            </w:r>
          </w:p>
        </w:tc>
        <w:tc>
          <w:tcPr>
            <w:tcW w:w="308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bCs/>
                <w:color w:val="000000"/>
                <w:sz w:val="24"/>
              </w:rPr>
            </w:pPr>
            <w:r>
              <w:rPr>
                <w:rFonts w:hint="eastAsia" w:ascii="宋体" w:hAnsi="宋体"/>
                <w:b/>
                <w:bCs/>
                <w:color w:val="000000"/>
                <w:sz w:val="24"/>
              </w:rPr>
              <w:t>参考图片</w:t>
            </w:r>
          </w:p>
        </w:tc>
        <w:tc>
          <w:tcPr>
            <w:tcW w:w="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cs="宋体"/>
                <w:b/>
                <w:bCs/>
                <w:color w:val="000000"/>
                <w:sz w:val="24"/>
              </w:rPr>
            </w:pPr>
            <w:r>
              <w:rPr>
                <w:rFonts w:hint="eastAsia" w:ascii="宋体" w:hAnsi="宋体"/>
                <w:b/>
                <w:bCs/>
                <w:color w:val="000000"/>
                <w:sz w:val="24"/>
              </w:rPr>
              <w:t>数量</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b/>
                <w:bCs/>
                <w:color w:val="000000"/>
                <w:sz w:val="24"/>
                <w:lang w:eastAsia="zh-CN"/>
              </w:rPr>
            </w:pPr>
            <w:r>
              <w:rPr>
                <w:rFonts w:hint="eastAsia" w:ascii="宋体" w:hAnsi="宋体"/>
                <w:b/>
                <w:bCs/>
                <w:color w:val="000000"/>
                <w:sz w:val="24"/>
                <w:lang w:eastAsia="zh-CN"/>
              </w:rPr>
              <w:t>最高限价标准</w:t>
            </w:r>
          </w:p>
        </w:tc>
      </w:tr>
      <w:tr>
        <w:tblPrEx>
          <w:tblCellMar>
            <w:top w:w="0" w:type="dxa"/>
            <w:left w:w="108" w:type="dxa"/>
            <w:bottom w:w="0" w:type="dxa"/>
            <w:right w:w="108" w:type="dxa"/>
          </w:tblCellMar>
        </w:tblPrEx>
        <w:trPr>
          <w:trHeight w:val="806" w:hRule="atLeast"/>
          <w:jc w:val="center"/>
        </w:trPr>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4"/>
              </w:rPr>
            </w:pPr>
            <w:r>
              <w:rPr>
                <w:rFonts w:hint="eastAsia"/>
                <w:sz w:val="24"/>
              </w:rPr>
              <w:t>1</w:t>
            </w:r>
          </w:p>
        </w:tc>
        <w:tc>
          <w:tcPr>
            <w:tcW w:w="65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ahoma" w:hAnsi="Tahoma" w:cs="Tahoma"/>
                <w:color w:val="3C3C3C"/>
                <w:sz w:val="24"/>
              </w:rPr>
            </w:pPr>
            <w:r>
              <w:rPr>
                <w:rFonts w:hint="eastAsia" w:cs="宋体"/>
                <w:kern w:val="0"/>
                <w:sz w:val="24"/>
              </w:rPr>
              <w:t>办公桌</w:t>
            </w:r>
          </w:p>
        </w:tc>
        <w:tc>
          <w:tcPr>
            <w:tcW w:w="43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rPr>
            </w:pPr>
            <w:r>
              <w:rPr>
                <w:rFonts w:hint="eastAsia" w:asciiTheme="minorEastAsia" w:hAnsiTheme="minorEastAsia" w:eastAsiaTheme="minorEastAsia"/>
                <w:kern w:val="0"/>
                <w:szCs w:val="21"/>
                <w:lang w:val="en-US" w:eastAsia="zh-CN"/>
              </w:rPr>
              <w:t>1、</w:t>
            </w:r>
            <w:r>
              <w:rPr>
                <w:rFonts w:hint="eastAsia" w:asciiTheme="minorEastAsia" w:hAnsiTheme="minorEastAsia" w:eastAsiaTheme="minorEastAsia"/>
                <w:kern w:val="0"/>
                <w:szCs w:val="21"/>
              </w:rPr>
              <w:t>尺寸：1600*800*760</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饰面：为实木木皮贴面，厚度不小于0.6mm。含水率≦12%，甲醛释放量未检出。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3、</w:t>
            </w:r>
            <w:r>
              <w:rPr>
                <w:rFonts w:hint="eastAsia" w:asciiTheme="minorEastAsia" w:hAnsiTheme="minorEastAsia" w:eastAsiaTheme="minorEastAsia"/>
                <w:kern w:val="0"/>
                <w:szCs w:val="21"/>
              </w:rPr>
              <w:t>基材：材料为符合E0环保标准的中密度纤维板，绿色环保，经过防潮、防虫、防腐化学处理。静曲强度≥23Mpa，弹性模量≥1800Mpa，表面结合强度≥0.9Mpa，吸水厚度膨胀率≤10%，内结合强度≥0.4Mpa，密度0.65-0.8g/c㎥，板内密度差±10%，含水率≤12%，产品总挥发性有机化合物未检出，挥发性有机化合物（苯、甲苯、二甲苯）未检出，甲醛释放量≤0.05mg/m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4</w:t>
            </w:r>
            <w:r>
              <w:rPr>
                <w:rFonts w:hint="eastAsia" w:asciiTheme="minorEastAsia" w:hAnsiTheme="minorEastAsia" w:eastAsiaTheme="minorEastAsia"/>
                <w:kern w:val="0"/>
                <w:szCs w:val="21"/>
              </w:rPr>
              <w:t>、底漆：采用E0级绿色环保底漆，VOC含量≤600g/L，可溶性重金属含量(镉、铬、汞)未检出，苯含量≤0.1%，甲苯与二甲苯（含乙苯）总和含量≤20%。面漆：VOC含量≤550g/L，可溶性重金属含量(镉、铬、汞)未检出。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5</w:t>
            </w:r>
            <w:r>
              <w:rPr>
                <w:rFonts w:hint="eastAsia" w:asciiTheme="minorEastAsia" w:hAnsiTheme="minorEastAsia" w:eastAsiaTheme="minorEastAsia"/>
                <w:kern w:val="0"/>
                <w:szCs w:val="21"/>
              </w:rPr>
              <w:t>、铰链：下沉量在使用调整系统前，安装A型门时，下沉量不应大于2.0mm。耐腐蚀要求：18h、1.5mm以下锈点≤20点/d㎡，其中≥1.0mm锈点不超过5点，金属表面耐腐蚀：乙酸盐雾试验180小时不低于7级。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6、导轨：表面经电镀或喷涂处理,开闭灵活无燥声。垂直向下静载、水平侧向静载荷、耐久性、耐腐蚀均符合技术标准，下沉量不应超过抽屉导轨拉出长度的4％。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7、锁具：牢固度、灵活度均符合技术标准，涂层件外露表面应色泽均匀，不应有起泡、脱落等明显瑕疵。金属涂层耐腐蚀等级不小于5级。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8、胶粘剂：总挥发性有机物含量≤110g/L，游离甲醛未检出，苯≤0.2g/kg，甲苯+二甲苯≤10g/kg。</w:t>
            </w:r>
          </w:p>
        </w:tc>
        <w:tc>
          <w:tcPr>
            <w:tcW w:w="3082"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Segoe UI" w:hAnsi="Segoe UI" w:cs="Segoe UI"/>
              </w:rPr>
            </w:pPr>
            <w:r>
              <w:drawing>
                <wp:inline distT="0" distB="0" distL="114300" distR="114300">
                  <wp:extent cx="1711325" cy="1280795"/>
                  <wp:effectExtent l="0" t="0" r="3175" b="14605"/>
                  <wp:docPr id="1540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6" name="图片 5"/>
                          <pic:cNvPicPr>
                            <a:picLocks noChangeAspect="1"/>
                          </pic:cNvPicPr>
                        </pic:nvPicPr>
                        <pic:blipFill>
                          <a:blip r:embed="rId4"/>
                          <a:stretch>
                            <a:fillRect/>
                          </a:stretch>
                        </pic:blipFill>
                        <pic:spPr>
                          <a:xfrm>
                            <a:off x="0" y="0"/>
                            <a:ext cx="1711325" cy="1280795"/>
                          </a:xfrm>
                          <a:prstGeom prst="rect">
                            <a:avLst/>
                          </a:prstGeom>
                          <a:noFill/>
                          <a:ln w="9525">
                            <a:noFill/>
                          </a:ln>
                        </pic:spPr>
                      </pic:pic>
                    </a:graphicData>
                  </a:graphic>
                </wp:inline>
              </w:drawing>
            </w:r>
            <w:r>
              <w:drawing>
                <wp:inline distT="0" distB="0" distL="114300" distR="114300">
                  <wp:extent cx="1746885" cy="1003935"/>
                  <wp:effectExtent l="0" t="0" r="5715" b="5715"/>
                  <wp:docPr id="1540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8" name="图片 7"/>
                          <pic:cNvPicPr>
                            <a:picLocks noChangeAspect="1"/>
                          </pic:cNvPicPr>
                        </pic:nvPicPr>
                        <pic:blipFill>
                          <a:blip r:embed="rId5"/>
                          <a:stretch>
                            <a:fillRect/>
                          </a:stretch>
                        </pic:blipFill>
                        <pic:spPr>
                          <a:xfrm flipV="1">
                            <a:off x="0" y="0"/>
                            <a:ext cx="1746885" cy="1003935"/>
                          </a:xfrm>
                          <a:prstGeom prst="rect">
                            <a:avLst/>
                          </a:prstGeom>
                          <a:noFill/>
                          <a:ln w="9525">
                            <a:noFill/>
                          </a:ln>
                        </pic:spPr>
                      </pic:pic>
                    </a:graphicData>
                  </a:graphic>
                </wp:inline>
              </w:drawing>
            </w:r>
          </w:p>
        </w:tc>
        <w:tc>
          <w:tcPr>
            <w:tcW w:w="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4"/>
              </w:rPr>
            </w:pPr>
            <w:r>
              <w:rPr>
                <w:rFonts w:hint="eastAsia"/>
                <w:sz w:val="24"/>
                <w:lang w:val="en-US" w:eastAsia="zh-CN"/>
              </w:rPr>
              <w:t>7</w:t>
            </w:r>
            <w:r>
              <w:rPr>
                <w:rFonts w:hint="eastAsia"/>
                <w:sz w:val="24"/>
              </w:rPr>
              <w:t>套</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eastAsia"/>
                <w:sz w:val="24"/>
                <w:lang w:val="en-US" w:eastAsia="zh-CN"/>
              </w:rPr>
              <w:t>1900元/人/张</w:t>
            </w:r>
          </w:p>
        </w:tc>
      </w:tr>
      <w:tr>
        <w:tblPrEx>
          <w:tblCellMar>
            <w:top w:w="0" w:type="dxa"/>
            <w:left w:w="108" w:type="dxa"/>
            <w:bottom w:w="0" w:type="dxa"/>
            <w:right w:w="108" w:type="dxa"/>
          </w:tblCellMar>
        </w:tblPrEx>
        <w:trPr>
          <w:trHeight w:val="699" w:hRule="atLeast"/>
          <w:jc w:val="center"/>
        </w:trPr>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asciiTheme="minorHAnsi" w:hAnsiTheme="minorHAnsi" w:cstheme="minorBidi"/>
                <w:kern w:val="2"/>
                <w:sz w:val="24"/>
                <w:szCs w:val="22"/>
                <w:lang w:val="en-US" w:eastAsia="zh-CN"/>
              </w:rPr>
            </w:pPr>
            <w:r>
              <w:rPr>
                <w:rFonts w:hint="eastAsia" w:cstheme="minorBidi"/>
                <w:kern w:val="2"/>
                <w:sz w:val="24"/>
                <w:szCs w:val="22"/>
                <w:lang w:val="en-US" w:eastAsia="zh-CN"/>
              </w:rPr>
              <w:t>2</w:t>
            </w:r>
          </w:p>
        </w:tc>
        <w:tc>
          <w:tcPr>
            <w:tcW w:w="65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ahoma" w:hAnsi="Tahoma" w:eastAsia="宋体" w:cs="Tahoma"/>
                <w:color w:val="3C3C3C"/>
                <w:kern w:val="2"/>
                <w:sz w:val="24"/>
                <w:szCs w:val="22"/>
                <w:lang w:val="en-US" w:eastAsia="zh-CN"/>
              </w:rPr>
            </w:pPr>
            <w:r>
              <w:rPr>
                <w:rFonts w:hint="eastAsia" w:cs="宋体"/>
                <w:kern w:val="0"/>
                <w:sz w:val="24"/>
              </w:rPr>
              <w:t>办公桌</w:t>
            </w:r>
          </w:p>
        </w:tc>
        <w:tc>
          <w:tcPr>
            <w:tcW w:w="43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rPr>
            </w:pPr>
            <w:r>
              <w:rPr>
                <w:rFonts w:hint="eastAsia" w:asciiTheme="minorEastAsia" w:hAnsiTheme="minorEastAsia" w:eastAsiaTheme="minorEastAsia"/>
                <w:kern w:val="0"/>
                <w:szCs w:val="21"/>
                <w:lang w:val="en-US" w:eastAsia="zh-CN"/>
              </w:rPr>
              <w:t>1、</w:t>
            </w:r>
            <w:r>
              <w:rPr>
                <w:rFonts w:hint="eastAsia" w:asciiTheme="minorEastAsia" w:hAnsiTheme="minorEastAsia" w:eastAsiaTheme="minorEastAsia"/>
                <w:kern w:val="0"/>
                <w:szCs w:val="21"/>
              </w:rPr>
              <w:t>尺寸：1800*900*760</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饰面：为实木木皮贴面，厚度不小于0.6mm。含水率≦12%，甲醛释放量未检出。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3、</w:t>
            </w:r>
            <w:r>
              <w:rPr>
                <w:rFonts w:hint="eastAsia" w:asciiTheme="minorEastAsia" w:hAnsiTheme="minorEastAsia" w:eastAsiaTheme="minorEastAsia"/>
                <w:kern w:val="0"/>
                <w:szCs w:val="21"/>
              </w:rPr>
              <w:t>基材：材料为符合E0环保标准的中密度纤维板，绿色环保，经过防潮、防虫、防腐化学处理。静曲强度≥23Mpa，弹性模量≥1800Mpa，表面结合强度≥0.9Mpa，吸水厚度膨胀率≤10%，内结合强度≥0.4Mpa，密度0.65-0.8g/c㎥，板内密度差±10%，含水率≤12%，产品总挥发性有机化合物未检出，挥发性有机化合物（苯、甲苯、二甲苯）未检出，甲醛释放量≤0.05mg/m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4</w:t>
            </w:r>
            <w:r>
              <w:rPr>
                <w:rFonts w:hint="eastAsia" w:asciiTheme="minorEastAsia" w:hAnsiTheme="minorEastAsia" w:eastAsiaTheme="minorEastAsia"/>
                <w:kern w:val="0"/>
                <w:szCs w:val="21"/>
              </w:rPr>
              <w:t>、底漆：采用E0级绿色环保底漆，VOC含量≤600g/L，可溶性重金属含量(镉、铬、汞)未检出，苯含量≤0.1%，甲苯与二甲苯（含乙苯）总和含量≤20%。面漆：VOC含量≤550g/L，可溶性重金属含量(镉、铬、汞)未检出。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5</w:t>
            </w:r>
            <w:r>
              <w:rPr>
                <w:rFonts w:hint="eastAsia" w:asciiTheme="minorEastAsia" w:hAnsiTheme="minorEastAsia" w:eastAsiaTheme="minorEastAsia"/>
                <w:kern w:val="0"/>
                <w:szCs w:val="21"/>
              </w:rPr>
              <w:t>、铰链：下沉量在使用调整系统前，安装A型门时，下沉量不应大于2.0mm。耐腐蚀要求：18h、1.5mm以下锈点≤20点/d㎡，其中≥1.0mm锈点不超过5点，金属表面耐腐蚀：乙酸盐雾试验180小时不低于7级。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6、导轨：表面经电镀或喷涂处理,开闭灵活无燥声。垂直向下静载、水平侧向静载荷、耐久性、耐腐蚀均符合技术标准，下沉量不应超过抽屉导轨拉出长度的4％。</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7、锁具：牢固度、灵活度均符合技术标准，涂层件外露表面应色泽均匀，不应有起泡、脱落等明显瑕疵。金属涂层耐腐蚀等级不小于5级。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kern w:val="0"/>
                <w:szCs w:val="21"/>
              </w:rPr>
              <w:t>8、胶粘剂：总挥发性有机物含量≤110g/L，游离甲醛未检出，苯≤0.2g/kg，甲苯+二甲苯≤10g/kg。</w:t>
            </w:r>
          </w:p>
        </w:tc>
        <w:tc>
          <w:tcPr>
            <w:tcW w:w="3082" w:type="dxa"/>
            <w:tcBorders>
              <w:top w:val="single" w:color="auto" w:sz="4" w:space="0"/>
              <w:left w:val="nil"/>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Segoe UI" w:hAnsi="Segoe UI" w:eastAsia="宋体" w:cs="Segoe UI"/>
                <w:kern w:val="2"/>
                <w:sz w:val="21"/>
                <w:szCs w:val="22"/>
                <w:lang w:val="en-US" w:eastAsia="zh-CN"/>
              </w:rPr>
            </w:pPr>
            <w:r>
              <w:drawing>
                <wp:inline distT="0" distB="0" distL="114300" distR="114300">
                  <wp:extent cx="1711325" cy="1280795"/>
                  <wp:effectExtent l="0" t="0" r="3175" b="146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
                          <a:stretch>
                            <a:fillRect/>
                          </a:stretch>
                        </pic:blipFill>
                        <pic:spPr>
                          <a:xfrm>
                            <a:off x="0" y="0"/>
                            <a:ext cx="1711325" cy="1280795"/>
                          </a:xfrm>
                          <a:prstGeom prst="rect">
                            <a:avLst/>
                          </a:prstGeom>
                          <a:noFill/>
                          <a:ln w="9525">
                            <a:noFill/>
                          </a:ln>
                        </pic:spPr>
                      </pic:pic>
                    </a:graphicData>
                  </a:graphic>
                </wp:inline>
              </w:drawing>
            </w:r>
            <w:r>
              <w:drawing>
                <wp:inline distT="0" distB="0" distL="114300" distR="114300">
                  <wp:extent cx="1725930" cy="995045"/>
                  <wp:effectExtent l="0" t="0" r="7620" b="14605"/>
                  <wp:docPr id="1540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7" name="图片 6"/>
                          <pic:cNvPicPr>
                            <a:picLocks noChangeAspect="1"/>
                          </pic:cNvPicPr>
                        </pic:nvPicPr>
                        <pic:blipFill>
                          <a:blip r:embed="rId6"/>
                          <a:stretch>
                            <a:fillRect/>
                          </a:stretch>
                        </pic:blipFill>
                        <pic:spPr>
                          <a:xfrm>
                            <a:off x="0" y="0"/>
                            <a:ext cx="1725930" cy="995045"/>
                          </a:xfrm>
                          <a:prstGeom prst="rect">
                            <a:avLst/>
                          </a:prstGeom>
                          <a:noFill/>
                          <a:ln w="9525">
                            <a:noFill/>
                          </a:ln>
                        </pic:spPr>
                      </pic:pic>
                    </a:graphicData>
                  </a:graphic>
                </wp:inline>
              </w:drawing>
            </w:r>
          </w:p>
        </w:tc>
        <w:tc>
          <w:tcPr>
            <w:tcW w:w="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4"/>
                <w:szCs w:val="22"/>
                <w:lang w:val="en-US" w:eastAsia="zh-CN"/>
              </w:rPr>
            </w:pPr>
            <w:r>
              <w:rPr>
                <w:rFonts w:hint="eastAsia"/>
                <w:sz w:val="24"/>
                <w:lang w:val="en-US" w:eastAsia="zh-CN"/>
              </w:rPr>
              <w:t>1</w:t>
            </w:r>
            <w:r>
              <w:rPr>
                <w:rFonts w:hint="eastAsia"/>
                <w:sz w:val="24"/>
              </w:rPr>
              <w:t>套</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asciiTheme="minorHAnsi" w:hAnsiTheme="minorHAnsi" w:cstheme="minorBidi"/>
                <w:kern w:val="2"/>
                <w:sz w:val="21"/>
                <w:szCs w:val="22"/>
                <w:lang w:val="en-US" w:eastAsia="zh-CN"/>
              </w:rPr>
            </w:pPr>
            <w:r>
              <w:rPr>
                <w:rFonts w:hint="eastAsia"/>
                <w:sz w:val="24"/>
                <w:lang w:val="en-US" w:eastAsia="zh-CN"/>
              </w:rPr>
              <w:t>1900元/人/张</w:t>
            </w:r>
          </w:p>
        </w:tc>
      </w:tr>
      <w:tr>
        <w:tblPrEx>
          <w:tblCellMar>
            <w:top w:w="0" w:type="dxa"/>
            <w:left w:w="108" w:type="dxa"/>
            <w:bottom w:w="0" w:type="dxa"/>
            <w:right w:w="108" w:type="dxa"/>
          </w:tblCellMar>
        </w:tblPrEx>
        <w:trPr>
          <w:trHeight w:val="2164" w:hRule="atLeast"/>
          <w:jc w:val="center"/>
        </w:trPr>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4"/>
                <w:lang w:eastAsia="zh-CN"/>
              </w:rPr>
            </w:pPr>
            <w:r>
              <w:rPr>
                <w:rFonts w:hint="eastAsia"/>
                <w:sz w:val="24"/>
                <w:lang w:val="en-US" w:eastAsia="zh-CN"/>
              </w:rPr>
              <w:t>3</w:t>
            </w:r>
          </w:p>
        </w:tc>
        <w:tc>
          <w:tcPr>
            <w:tcW w:w="65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ahoma" w:hAnsi="Tahoma" w:cs="Tahoma"/>
                <w:color w:val="3C3C3C"/>
                <w:sz w:val="24"/>
                <w:shd w:val="clear" w:color="auto" w:fill="FFFFFF"/>
              </w:rPr>
            </w:pPr>
            <w:r>
              <w:rPr>
                <w:rFonts w:hint="eastAsia" w:cs="宋体"/>
                <w:kern w:val="0"/>
                <w:sz w:val="24"/>
              </w:rPr>
              <w:t>书柜</w:t>
            </w:r>
          </w:p>
        </w:tc>
        <w:tc>
          <w:tcPr>
            <w:tcW w:w="43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1、</w:t>
            </w:r>
            <w:r>
              <w:rPr>
                <w:rFonts w:hint="eastAsia" w:asciiTheme="minorEastAsia" w:hAnsiTheme="minorEastAsia" w:eastAsiaTheme="minorEastAsia"/>
                <w:kern w:val="0"/>
                <w:szCs w:val="21"/>
              </w:rPr>
              <w:t>尺寸：800*400*2000</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、饰面：为实木木皮贴面，厚度不小于0.6mm。含水率≦12%，甲醛释放量未检出。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3</w:t>
            </w:r>
            <w:r>
              <w:rPr>
                <w:rFonts w:hint="eastAsia" w:asciiTheme="minorEastAsia" w:hAnsiTheme="minorEastAsia" w:eastAsiaTheme="minorEastAsia"/>
                <w:kern w:val="0"/>
                <w:szCs w:val="21"/>
              </w:rPr>
              <w:t>、基材：材料为符合E0环保标准的中密度纤维板，绿色环保，经过防潮、防虫、防腐化学处理。静曲强度≥23Mpa，弹性模量≥1800Mpa，表面结合强度≥0.9Mpa，吸水厚度膨胀率≤10%，内结合强度≥0.4Mpa，密度0.65-0.8g/c㎥，板内密度差±10%，含水率≤12%，产品总挥发性有机化合物未检出，挥发性有机化合物（苯、甲苯、二甲苯）未检出，甲醛释放量≤0.05mg/m³。</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4</w:t>
            </w:r>
            <w:r>
              <w:rPr>
                <w:rFonts w:hint="eastAsia" w:asciiTheme="minorEastAsia" w:hAnsiTheme="minorEastAsia" w:eastAsiaTheme="minorEastAsia"/>
                <w:kern w:val="0"/>
                <w:szCs w:val="21"/>
              </w:rPr>
              <w:t>、底漆：采用E0级绿色环保底漆，VOC含量≤600g/L，可溶性重金属含量(镉、铬、汞)未检出，苯含量≤0.1%，甲苯与二甲苯（含乙苯）总和含量≤20%。面漆：VOC含量≤550g/L，可溶性重金属含量(镉、铬、汞)未检出。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5</w:t>
            </w:r>
            <w:r>
              <w:rPr>
                <w:rFonts w:hint="eastAsia" w:asciiTheme="minorEastAsia" w:hAnsiTheme="minorEastAsia" w:eastAsiaTheme="minorEastAsia"/>
                <w:kern w:val="0"/>
                <w:szCs w:val="21"/>
              </w:rPr>
              <w:t>、铰链：下沉量在使用调整系统前，安装A型门时，下沉量不应大于2.0mm。耐腐蚀要求：18h、1.5mm以下锈点≤20点/d㎡，其中≥1.0mm锈点不超过5点，金属表面耐腐蚀：乙酸盐雾试验180小时不低于7级。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6</w:t>
            </w:r>
            <w:r>
              <w:rPr>
                <w:rFonts w:hint="eastAsia" w:asciiTheme="minorEastAsia" w:hAnsiTheme="minorEastAsia" w:eastAsiaTheme="minorEastAsia"/>
                <w:kern w:val="0"/>
                <w:szCs w:val="21"/>
              </w:rPr>
              <w:t>、胶粘剂：总挥发性有机物含量≤110g/L，游离甲醛未检出，苯≤0.2g/kg，甲苯+二甲苯≤10g/kg。</w:t>
            </w:r>
          </w:p>
        </w:tc>
        <w:tc>
          <w:tcPr>
            <w:tcW w:w="3082"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Segoe UI" w:hAnsi="Segoe UI" w:cs="Segoe UI"/>
              </w:rPr>
            </w:pPr>
            <w:r>
              <w:drawing>
                <wp:inline distT="0" distB="0" distL="114300" distR="114300">
                  <wp:extent cx="1679575" cy="3681730"/>
                  <wp:effectExtent l="0" t="0" r="15875" b="13970"/>
                  <wp:docPr id="1540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4" name="图片 3"/>
                          <pic:cNvPicPr>
                            <a:picLocks noChangeAspect="1"/>
                          </pic:cNvPicPr>
                        </pic:nvPicPr>
                        <pic:blipFill>
                          <a:blip r:embed="rId7"/>
                          <a:stretch>
                            <a:fillRect/>
                          </a:stretch>
                        </pic:blipFill>
                        <pic:spPr>
                          <a:xfrm>
                            <a:off x="0" y="0"/>
                            <a:ext cx="1679575" cy="3681730"/>
                          </a:xfrm>
                          <a:prstGeom prst="rect">
                            <a:avLst/>
                          </a:prstGeom>
                          <a:noFill/>
                          <a:ln w="9525">
                            <a:noFill/>
                          </a:ln>
                        </pic:spPr>
                      </pic:pic>
                    </a:graphicData>
                  </a:graphic>
                </wp:inline>
              </w:drawing>
            </w:r>
            <w:r>
              <w:drawing>
                <wp:inline distT="0" distB="0" distL="114300" distR="114300">
                  <wp:extent cx="1826895" cy="1336040"/>
                  <wp:effectExtent l="0" t="0" r="1905" b="16510"/>
                  <wp:docPr id="154009" name="图片 8" descr="FMY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 name="图片 8" descr="FMY202"/>
                          <pic:cNvPicPr>
                            <a:picLocks noChangeAspect="1"/>
                          </pic:cNvPicPr>
                        </pic:nvPicPr>
                        <pic:blipFill>
                          <a:blip r:embed="rId8"/>
                          <a:srcRect l="11153" t="9380" r="22983" b="22820"/>
                          <a:stretch>
                            <a:fillRect/>
                          </a:stretch>
                        </pic:blipFill>
                        <pic:spPr>
                          <a:xfrm>
                            <a:off x="0" y="0"/>
                            <a:ext cx="1826895" cy="1336040"/>
                          </a:xfrm>
                          <a:prstGeom prst="rect">
                            <a:avLst/>
                          </a:prstGeom>
                          <a:noFill/>
                          <a:ln w="9525">
                            <a:noFill/>
                          </a:ln>
                        </pic:spPr>
                      </pic:pic>
                    </a:graphicData>
                  </a:graphic>
                </wp:inline>
              </w:drawing>
            </w:r>
          </w:p>
        </w:tc>
        <w:tc>
          <w:tcPr>
            <w:tcW w:w="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4"/>
              </w:rPr>
            </w:pPr>
            <w:r>
              <w:rPr>
                <w:rFonts w:hint="eastAsia"/>
                <w:sz w:val="24"/>
              </w:rPr>
              <w:t>1</w:t>
            </w:r>
            <w:r>
              <w:rPr>
                <w:rFonts w:hint="eastAsia"/>
                <w:sz w:val="24"/>
                <w:lang w:val="en-US" w:eastAsia="zh-CN"/>
              </w:rPr>
              <w:t>0</w:t>
            </w:r>
            <w:r>
              <w:rPr>
                <w:rFonts w:hint="eastAsia"/>
                <w:sz w:val="24"/>
              </w:rPr>
              <w:t>个</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4"/>
                <w:lang w:val="en-US" w:eastAsia="zh-CN"/>
              </w:rPr>
            </w:pPr>
            <w:r>
              <w:rPr>
                <w:rFonts w:hint="eastAsia"/>
                <w:sz w:val="24"/>
                <w:lang w:val="en-US" w:eastAsia="zh-CN"/>
              </w:rPr>
              <w:t>1000元/人/张</w:t>
            </w:r>
          </w:p>
        </w:tc>
      </w:tr>
      <w:tr>
        <w:tblPrEx>
          <w:tblCellMar>
            <w:top w:w="0" w:type="dxa"/>
            <w:left w:w="108" w:type="dxa"/>
            <w:bottom w:w="0" w:type="dxa"/>
            <w:right w:w="108" w:type="dxa"/>
          </w:tblCellMar>
        </w:tblPrEx>
        <w:trPr>
          <w:trHeight w:val="11229" w:hRule="atLeast"/>
          <w:jc w:val="center"/>
        </w:trPr>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4"/>
                <w:lang w:val="en-US" w:eastAsia="zh-CN"/>
              </w:rPr>
            </w:pPr>
            <w:r>
              <w:rPr>
                <w:rFonts w:hint="eastAsia"/>
                <w:sz w:val="24"/>
                <w:lang w:val="en-US" w:eastAsia="zh-CN"/>
              </w:rPr>
              <w:t>4</w:t>
            </w:r>
          </w:p>
        </w:tc>
        <w:tc>
          <w:tcPr>
            <w:tcW w:w="65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ahoma" w:hAnsi="Tahoma" w:cs="Tahoma"/>
                <w:color w:val="3C3C3C"/>
                <w:sz w:val="24"/>
                <w:shd w:val="clear" w:color="auto" w:fill="FFFFFF"/>
              </w:rPr>
            </w:pPr>
            <w:r>
              <w:rPr>
                <w:rFonts w:hint="eastAsia" w:cs="宋体"/>
                <w:kern w:val="0"/>
                <w:sz w:val="24"/>
              </w:rPr>
              <w:t>茶水柜</w:t>
            </w:r>
          </w:p>
        </w:tc>
        <w:tc>
          <w:tcPr>
            <w:tcW w:w="43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kern w:val="0"/>
                <w:szCs w:val="21"/>
                <w:lang w:val="en-US" w:eastAsia="zh-CN"/>
              </w:rPr>
              <w:t>1、</w:t>
            </w:r>
            <w:r>
              <w:rPr>
                <w:rFonts w:hint="eastAsia" w:asciiTheme="minorEastAsia" w:hAnsiTheme="minorEastAsia" w:eastAsiaTheme="minorEastAsia"/>
                <w:kern w:val="0"/>
                <w:szCs w:val="21"/>
              </w:rPr>
              <w:t>尺寸：800*400*860</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cstheme="minorBidi"/>
                <w:kern w:val="0"/>
                <w:sz w:val="21"/>
                <w:szCs w:val="21"/>
                <w:lang w:val="en-US" w:eastAsia="zh-CN"/>
              </w:rPr>
              <w:t>2、饰面：为实木木皮贴面，厚度不小于0.6mm。含水率≦12%，甲醛释放量未检出。</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cstheme="minorBidi"/>
                <w:kern w:val="0"/>
                <w:sz w:val="21"/>
                <w:szCs w:val="21"/>
                <w:lang w:val="en-US" w:eastAsia="zh-CN"/>
              </w:rPr>
              <w:t>3、基材：材料为符合E0环保标准的中密度纤维板，绿色环保，经过防潮、防虫、防腐化学处理。静曲强度≥23Mpa，弹性模量≥1800Mpa，表面结合强度≥0.9Mpa，吸水厚度膨胀率≤10%，内结合强度≥0.4Mpa，密度0.65-0.8g/c㎥，板内密度差±10%，含水率≤12%，产品总挥发性有机化合物未检出，挥发性有机化合物（苯、甲苯、二甲苯）未检出，甲醛释放量≤0.05mg/m³。</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cstheme="minorBidi"/>
                <w:kern w:val="0"/>
                <w:sz w:val="21"/>
                <w:szCs w:val="21"/>
                <w:lang w:val="en-US" w:eastAsia="zh-CN"/>
              </w:rPr>
              <w:t>4、底漆：采用E0级绿色环保底漆，VOC含量≤600g/L，可溶性重金属含量(镉、铬、汞)未检出，苯含量≤0.1%，甲苯与二甲苯（含乙苯）总和含量≤20%。面漆：VOC含量≤550g/L，可溶性重金属含量(镉、铬、汞)未检出。</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cstheme="minorBidi"/>
                <w:kern w:val="0"/>
                <w:sz w:val="21"/>
                <w:szCs w:val="21"/>
                <w:lang w:val="en-US" w:eastAsia="zh-CN"/>
              </w:rPr>
              <w:t>5、铰链：下沉量在使用调整系统前，安装A型门时，下沉量不应大于2.0mm。耐腐蚀要求：18h、1.5mm以下锈点≤20点/d㎡，其中≥1.0mm锈点不超过5点，金属表面耐腐蚀：乙酸盐雾试验180小时不低于7级。</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Bidi"/>
                <w:kern w:val="0"/>
                <w:sz w:val="21"/>
                <w:szCs w:val="21"/>
                <w:lang w:val="en-US" w:eastAsia="zh-CN"/>
              </w:rPr>
            </w:pPr>
            <w:r>
              <w:rPr>
                <w:rFonts w:hint="eastAsia" w:asciiTheme="minorEastAsia" w:hAnsiTheme="minorEastAsia" w:eastAsiaTheme="minorEastAsia" w:cstheme="minorBidi"/>
                <w:kern w:val="0"/>
                <w:sz w:val="21"/>
                <w:szCs w:val="21"/>
                <w:lang w:val="en-US" w:eastAsia="zh-CN"/>
              </w:rPr>
              <w:t>6、导轨：表面经电镀或喷涂处理,开闭灵活无燥声。垂直向下静载、水平侧向静载荷、耐久性、耐腐蚀均符合技术标准，下沉量不应超过抽屉导轨拉出长度的4％。</w:t>
            </w:r>
          </w:p>
          <w:p>
            <w:pPr>
              <w:pStyle w:val="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rPr>
                <w:rFonts w:hint="eastAsia" w:asciiTheme="minorEastAsia" w:hAnsiTheme="minorEastAsia" w:eastAsiaTheme="minorEastAsia" w:cstheme="minorBidi"/>
                <w:kern w:val="0"/>
                <w:sz w:val="21"/>
                <w:szCs w:val="21"/>
                <w:lang w:val="en-US" w:eastAsia="zh-CN"/>
              </w:rPr>
              <w:t>7、胶粘剂：总挥发性有机物含量≤110g/L，游离甲醛未检出，苯≤0.2g/kg，甲苯+二甲苯≤10g/kg。</w:t>
            </w:r>
          </w:p>
        </w:tc>
        <w:tc>
          <w:tcPr>
            <w:tcW w:w="3082"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Segoe UI" w:hAnsi="Segoe UI" w:cs="Segoe UI"/>
              </w:rPr>
            </w:pPr>
            <w:r>
              <w:drawing>
                <wp:inline distT="0" distB="0" distL="114300" distR="114300">
                  <wp:extent cx="1779905" cy="1822450"/>
                  <wp:effectExtent l="0" t="0" r="10795" b="6350"/>
                  <wp:docPr id="1540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 name="图片 2"/>
                          <pic:cNvPicPr>
                            <a:picLocks noChangeAspect="1"/>
                          </pic:cNvPicPr>
                        </pic:nvPicPr>
                        <pic:blipFill>
                          <a:blip r:embed="rId9"/>
                          <a:stretch>
                            <a:fillRect/>
                          </a:stretch>
                        </pic:blipFill>
                        <pic:spPr>
                          <a:xfrm>
                            <a:off x="0" y="0"/>
                            <a:ext cx="1779905" cy="1822450"/>
                          </a:xfrm>
                          <a:prstGeom prst="rect">
                            <a:avLst/>
                          </a:prstGeom>
                          <a:noFill/>
                          <a:ln w="9525">
                            <a:noFill/>
                          </a:ln>
                        </pic:spPr>
                      </pic:pic>
                    </a:graphicData>
                  </a:graphic>
                </wp:inline>
              </w:drawing>
            </w:r>
            <w:r>
              <w:drawing>
                <wp:inline distT="0" distB="0" distL="114300" distR="114300">
                  <wp:extent cx="1932305" cy="1182370"/>
                  <wp:effectExtent l="0" t="0" r="10795" b="17780"/>
                  <wp:docPr id="1540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0" name="图片 9"/>
                          <pic:cNvPicPr>
                            <a:picLocks noChangeAspect="1"/>
                          </pic:cNvPicPr>
                        </pic:nvPicPr>
                        <pic:blipFill>
                          <a:blip r:embed="rId10"/>
                          <a:stretch>
                            <a:fillRect/>
                          </a:stretch>
                        </pic:blipFill>
                        <pic:spPr>
                          <a:xfrm rot="10800000" flipV="1">
                            <a:off x="0" y="0"/>
                            <a:ext cx="1932305" cy="1182370"/>
                          </a:xfrm>
                          <a:prstGeom prst="rect">
                            <a:avLst/>
                          </a:prstGeom>
                          <a:noFill/>
                          <a:ln w="9525">
                            <a:noFill/>
                          </a:ln>
                        </pic:spPr>
                      </pic:pic>
                    </a:graphicData>
                  </a:graphic>
                </wp:inline>
              </w:drawing>
            </w:r>
          </w:p>
        </w:tc>
        <w:tc>
          <w:tcPr>
            <w:tcW w:w="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4"/>
              </w:rPr>
            </w:pPr>
            <w:r>
              <w:rPr>
                <w:rFonts w:hint="eastAsia"/>
                <w:sz w:val="24"/>
                <w:lang w:val="en-US" w:eastAsia="zh-CN"/>
              </w:rPr>
              <w:t>2</w:t>
            </w:r>
            <w:r>
              <w:rPr>
                <w:rFonts w:hint="eastAsia"/>
                <w:sz w:val="24"/>
              </w:rPr>
              <w:t>个</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4"/>
                <w:lang w:val="en-US" w:eastAsia="zh-CN"/>
              </w:rPr>
            </w:pPr>
            <w:r>
              <w:rPr>
                <w:rFonts w:hint="eastAsia"/>
                <w:sz w:val="24"/>
                <w:lang w:val="en-US" w:eastAsia="zh-CN"/>
              </w:rPr>
              <w:t>800元/张</w:t>
            </w:r>
          </w:p>
        </w:tc>
      </w:tr>
      <w:tr>
        <w:tblPrEx>
          <w:tblCellMar>
            <w:top w:w="0" w:type="dxa"/>
            <w:left w:w="108" w:type="dxa"/>
            <w:bottom w:w="0" w:type="dxa"/>
            <w:right w:w="108" w:type="dxa"/>
          </w:tblCellMar>
        </w:tblPrEx>
        <w:trPr>
          <w:trHeight w:val="699" w:hRule="atLeast"/>
          <w:jc w:val="center"/>
        </w:trPr>
        <w:tc>
          <w:tcPr>
            <w:tcW w:w="38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4"/>
                <w:lang w:eastAsia="zh-CN"/>
              </w:rPr>
            </w:pPr>
            <w:r>
              <w:rPr>
                <w:rFonts w:hint="eastAsia"/>
                <w:sz w:val="24"/>
                <w:lang w:val="en-US" w:eastAsia="zh-CN"/>
              </w:rPr>
              <w:t>5</w:t>
            </w:r>
          </w:p>
        </w:tc>
        <w:tc>
          <w:tcPr>
            <w:tcW w:w="65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ahoma" w:hAnsi="Tahoma" w:eastAsia="宋体" w:cs="Tahoma"/>
                <w:color w:val="3C3C3C"/>
                <w:sz w:val="24"/>
                <w:shd w:val="clear" w:color="auto" w:fill="FFFFFF"/>
                <w:lang w:eastAsia="zh-CN"/>
              </w:rPr>
            </w:pPr>
            <w:r>
              <w:rPr>
                <w:rFonts w:hint="eastAsia" w:cs="宋体"/>
                <w:kern w:val="0"/>
                <w:sz w:val="24"/>
                <w:lang w:eastAsia="zh-CN"/>
              </w:rPr>
              <w:t>边柜</w:t>
            </w:r>
          </w:p>
        </w:tc>
        <w:tc>
          <w:tcPr>
            <w:tcW w:w="431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1、</w:t>
            </w:r>
            <w:r>
              <w:rPr>
                <w:rFonts w:hint="eastAsia" w:asciiTheme="minorEastAsia" w:hAnsiTheme="minorEastAsia" w:eastAsiaTheme="minorEastAsia"/>
                <w:kern w:val="0"/>
                <w:szCs w:val="21"/>
              </w:rPr>
              <w:t>尺寸：800*400*720</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2</w:t>
            </w:r>
            <w:r>
              <w:rPr>
                <w:rFonts w:hint="eastAsia" w:asciiTheme="minorEastAsia" w:hAnsiTheme="minorEastAsia" w:eastAsiaTheme="minorEastAsia"/>
                <w:kern w:val="0"/>
                <w:szCs w:val="21"/>
              </w:rPr>
              <w:t>、饰面：采用E0级MFC板饰面，甲醛释放量≤0.5mg/L，优质环保，经过防虫防腐处理，耐磨性好，纹理清晰自然，色泽一致,接口自然平整。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3</w:t>
            </w:r>
            <w:r>
              <w:rPr>
                <w:rFonts w:hint="eastAsia" w:asciiTheme="minorEastAsia" w:hAnsiTheme="minorEastAsia" w:eastAsiaTheme="minorEastAsia"/>
                <w:kern w:val="0"/>
                <w:szCs w:val="21"/>
              </w:rPr>
              <w:t>、基材：采用中密度纤维板（符合环保要求，达到国家新检测标准E0级）。板内密度偏差±10%，含水率≤12%，静曲强度≥11Mpa，弹性模量≥1600Mpa，内胶合强度≥0.35Mpa，表面胶合强度≥0.8Mpa，甲醛含量（1m³气候箱法）≤0.05mg/m³，2h吸水厚度膨胀率≤8.0%，挥发性有机化合物检测结果合格。</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4</w:t>
            </w:r>
            <w:r>
              <w:rPr>
                <w:rFonts w:hint="eastAsia" w:asciiTheme="minorEastAsia" w:hAnsiTheme="minorEastAsia" w:eastAsiaTheme="minorEastAsia"/>
                <w:kern w:val="0"/>
                <w:szCs w:val="21"/>
              </w:rPr>
              <w:t>、封边条:优质厚PVC封边带，厚度2mm;封边条外观符合技术要求。耐干热性、耐磨性、耐开裂性（耐龟裂性）、耐老化性、耐冷热循环性、耐光色牢度≥4级、封边条甲醛释放量≤0.5m/L，可迁移元素（可溶性重金属）、邻苯二甲酸酯为未检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5</w:t>
            </w:r>
            <w:r>
              <w:rPr>
                <w:rFonts w:hint="eastAsia" w:asciiTheme="minorEastAsia" w:hAnsiTheme="minorEastAsia" w:eastAsiaTheme="minorEastAsia"/>
                <w:kern w:val="0"/>
                <w:szCs w:val="21"/>
              </w:rPr>
              <w:t>、铰链：下沉量在使用调整系统前，安装A型门时，下沉量不应大于2.0mm。耐腐蚀要求：18h、1.5mm以下锈点≤20点/d㎡，其中≥1.0mm锈点不超过5点，金属表面耐腐蚀：乙酸盐雾试验180小时不低于7级。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6</w:t>
            </w:r>
            <w:r>
              <w:rPr>
                <w:rFonts w:hint="eastAsia" w:asciiTheme="minorEastAsia" w:hAnsiTheme="minorEastAsia" w:eastAsiaTheme="minorEastAsia"/>
                <w:kern w:val="0"/>
                <w:szCs w:val="21"/>
              </w:rPr>
              <w:t>、导轨：表面经电镀或喷涂处理,开闭灵活无燥声,操作力：推力或拉力≤50N.耐久性开闭次数80000次无损，下沉量不应超出抽屉导轨拉出长度的4%,耐腐蚀要求：18h，1.5mm以下锈点≤20点/d㎡，其中≥1.0mm锈点不超过5点，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7</w:t>
            </w:r>
            <w:r>
              <w:rPr>
                <w:rFonts w:hint="eastAsia" w:asciiTheme="minorEastAsia" w:hAnsiTheme="minorEastAsia" w:eastAsiaTheme="minorEastAsia"/>
                <w:kern w:val="0"/>
                <w:szCs w:val="21"/>
              </w:rPr>
              <w:t>、锁具、拉手：金属电镀层抗盐雾要求：18h，1.5mm以下锈点≤20点/d㎡，其中≥1.0mm锈点不超过5点，乙酸盐雾试验180小时不低于7级。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8</w:t>
            </w:r>
            <w:r>
              <w:rPr>
                <w:rFonts w:hint="eastAsia" w:asciiTheme="minorEastAsia" w:hAnsiTheme="minorEastAsia" w:eastAsiaTheme="minorEastAsia"/>
                <w:kern w:val="0"/>
                <w:szCs w:val="21"/>
              </w:rPr>
              <w:t>、热熔胶：采用符合环保标准热熔胶，总挥发性有机物≤100g/L。</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kern w:val="0"/>
                <w:szCs w:val="21"/>
              </w:rPr>
            </w:pPr>
            <w:r>
              <w:rPr>
                <w:rFonts w:hint="eastAsia" w:asciiTheme="minorEastAsia" w:hAnsiTheme="minorEastAsia" w:eastAsiaTheme="minorEastAsia"/>
                <w:kern w:val="0"/>
                <w:szCs w:val="21"/>
                <w:lang w:val="en-US" w:eastAsia="zh-CN"/>
              </w:rPr>
              <w:t>9</w:t>
            </w:r>
            <w:r>
              <w:rPr>
                <w:rFonts w:hint="eastAsia" w:asciiTheme="minorEastAsia" w:hAnsiTheme="minorEastAsia" w:eastAsiaTheme="minorEastAsia"/>
                <w:kern w:val="0"/>
                <w:szCs w:val="21"/>
              </w:rPr>
              <w:t>、三合一偏心连接件：金属电镀层抗盐雾要求：18h，1.5mm以下锈点≤20点/d㎡，其中≥1.0mm锈点不超过5点，乙酸盐雾试验180小时不低于7级。</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heme="minorEastAsia" w:hAnsiTheme="minorEastAsia" w:eastAsiaTheme="minorEastAsia"/>
                <w:kern w:val="0"/>
                <w:szCs w:val="21"/>
              </w:rPr>
            </w:pPr>
          </w:p>
        </w:tc>
        <w:tc>
          <w:tcPr>
            <w:tcW w:w="3082"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Segoe UI" w:hAnsi="Segoe UI" w:eastAsia="宋体" w:cs="Segoe UI"/>
                <w:lang w:eastAsia="zh-CN"/>
              </w:rPr>
            </w:pPr>
            <w:r>
              <w:rPr>
                <w:rFonts w:hint="eastAsia" w:ascii="Segoe UI" w:hAnsi="Segoe UI" w:eastAsia="宋体" w:cs="Segoe UI"/>
                <w:lang w:eastAsia="zh-CN"/>
              </w:rPr>
              <w:drawing>
                <wp:inline distT="0" distB="0" distL="114300" distR="114300">
                  <wp:extent cx="1631950" cy="1414145"/>
                  <wp:effectExtent l="0" t="0" r="6350" b="14605"/>
                  <wp:docPr id="5" name="图片 5" descr="eae7244519361c74d4a7ad7fd6801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e7244519361c74d4a7ad7fd68013e1"/>
                          <pic:cNvPicPr>
                            <a:picLocks noChangeAspect="1"/>
                          </pic:cNvPicPr>
                        </pic:nvPicPr>
                        <pic:blipFill>
                          <a:blip r:embed="rId11"/>
                          <a:srcRect l="1751" t="-674" r="-1751" b="674"/>
                          <a:stretch>
                            <a:fillRect/>
                          </a:stretch>
                        </pic:blipFill>
                        <pic:spPr>
                          <a:xfrm>
                            <a:off x="0" y="0"/>
                            <a:ext cx="1631950" cy="1414145"/>
                          </a:xfrm>
                          <a:prstGeom prst="rect">
                            <a:avLst/>
                          </a:prstGeom>
                        </pic:spPr>
                      </pic:pic>
                    </a:graphicData>
                  </a:graphic>
                </wp:inline>
              </w:drawing>
            </w:r>
            <w:r>
              <w:drawing>
                <wp:inline distT="0" distB="0" distL="114300" distR="114300">
                  <wp:extent cx="1781175" cy="1274445"/>
                  <wp:effectExtent l="0" t="0" r="9525" b="1905"/>
                  <wp:docPr id="1540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1" name="图片 10"/>
                          <pic:cNvPicPr>
                            <a:picLocks noChangeAspect="1"/>
                          </pic:cNvPicPr>
                        </pic:nvPicPr>
                        <pic:blipFill>
                          <a:blip r:embed="rId12"/>
                          <a:stretch>
                            <a:fillRect/>
                          </a:stretch>
                        </pic:blipFill>
                        <pic:spPr>
                          <a:xfrm>
                            <a:off x="0" y="0"/>
                            <a:ext cx="1781175" cy="1274445"/>
                          </a:xfrm>
                          <a:prstGeom prst="rect">
                            <a:avLst/>
                          </a:prstGeom>
                          <a:noFill/>
                          <a:ln w="9525">
                            <a:noFill/>
                          </a:ln>
                        </pic:spPr>
                      </pic:pic>
                    </a:graphicData>
                  </a:graphic>
                </wp:inline>
              </w:drawing>
            </w:r>
            <w:bookmarkStart w:id="0" w:name="_GoBack"/>
            <w:bookmarkEnd w:id="0"/>
          </w:p>
        </w:tc>
        <w:tc>
          <w:tcPr>
            <w:tcW w:w="41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lang w:eastAsia="zh-CN"/>
              </w:rPr>
            </w:pPr>
            <w:r>
              <w:rPr>
                <w:rFonts w:hint="eastAsia"/>
                <w:sz w:val="24"/>
                <w:lang w:val="en-US" w:eastAsia="zh-CN"/>
              </w:rPr>
              <w:t>2</w:t>
            </w:r>
            <w:r>
              <w:rPr>
                <w:rFonts w:hint="eastAsia"/>
                <w:sz w:val="24"/>
                <w:lang w:eastAsia="zh-CN"/>
              </w:rPr>
              <w:t>个</w:t>
            </w: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4"/>
                <w:lang w:val="en-US" w:eastAsia="zh-CN"/>
              </w:rPr>
            </w:pPr>
            <w:r>
              <w:rPr>
                <w:rFonts w:hint="eastAsia"/>
                <w:sz w:val="24"/>
                <w:lang w:val="en-US" w:eastAsia="zh-CN"/>
              </w:rPr>
              <w:t>500元/人/张</w:t>
            </w:r>
          </w:p>
        </w:tc>
      </w:tr>
    </w:tbl>
    <w:p>
      <w:pPr>
        <w:keepNext w:val="0"/>
        <w:keepLines w:val="0"/>
        <w:pageBreakBefore w:val="0"/>
        <w:widowControl w:val="0"/>
        <w:kinsoku/>
        <w:wordWrap/>
        <w:overflowPunct/>
        <w:topLinePunct w:val="0"/>
        <w:autoSpaceDE/>
        <w:autoSpaceDN/>
        <w:bidi w:val="0"/>
        <w:adjustRightInd/>
        <w:snapToGrid/>
        <w:spacing w:line="560" w:lineRule="exact"/>
        <w:ind w:left="720" w:hanging="720" w:hangingChars="300"/>
        <w:textAlignment w:val="auto"/>
        <w:rPr>
          <w:rFonts w:hint="default" w:ascii="仿宋_GB2312" w:hAnsi="仿宋_GB2312" w:eastAsia="仿宋_GB2312" w:cs="仿宋_GB2312"/>
          <w:color w:val="auto"/>
          <w:sz w:val="32"/>
          <w:szCs w:val="32"/>
          <w:lang w:val="en-US" w:eastAsia="zh-CN"/>
        </w:rPr>
      </w:pPr>
      <w:r>
        <w:rPr>
          <w:rFonts w:hint="eastAsia" w:ascii="宋体" w:hAnsi="宋体" w:cs="宋体"/>
          <w:color w:val="000000"/>
          <w:kern w:val="0"/>
          <w:sz w:val="24"/>
          <w:lang w:val="en-US" w:eastAsia="zh-CN"/>
        </w:rPr>
        <w:t>备注：价格上限标准参照《福建省财政厅 福建省机关事务管理局关于调整省级行政事业单位通用办公设备和办公家具购置费预算标准的通知》（闽财资〔2021〕3号）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auto"/>
    <w:pitch w:val="default"/>
    <w:sig w:usb0="00000000" w:usb1="0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08" w:usb3="00000000" w:csb0="200101FF" w:csb1="20280000"/>
  </w:font>
  <w:font w:name="Segoe UI">
    <w:altName w:val="Noto Naskh Arabic"/>
    <w:panose1 w:val="020B0502040204020203"/>
    <w:charset w:val="00"/>
    <w:family w:val="swiss"/>
    <w:pitch w:val="default"/>
    <w:sig w:usb0="00000000" w:usb1="00000000" w:usb2="00000009" w:usb3="00000000" w:csb0="200001DF" w:csb1="20080000"/>
  </w:font>
  <w:font w:name="Noto Naskh Arabic">
    <w:panose1 w:val="020B0502040504020204"/>
    <w:charset w:val="00"/>
    <w:family w:val="auto"/>
    <w:pitch w:val="default"/>
    <w:sig w:usb0="80002003" w:usb1="80002000" w:usb2="00000008" w:usb3="00000000" w:csb0="00000041" w:csb1="00080000"/>
  </w:font>
  <w:font w:name="思源宋体">
    <w:panose1 w:val="02020400000000000000"/>
    <w:charset w:val="86"/>
    <w:family w:val="auto"/>
    <w:pitch w:val="default"/>
    <w:sig w:usb0="30000083" w:usb1="2BDF3C10" w:usb2="00000016" w:usb3="00000000" w:csb0="602E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53091E"/>
    <w:rsid w:val="00C326C4"/>
    <w:rsid w:val="013A3248"/>
    <w:rsid w:val="01B26E78"/>
    <w:rsid w:val="075A7E0E"/>
    <w:rsid w:val="08B12C9F"/>
    <w:rsid w:val="0C3B68DF"/>
    <w:rsid w:val="0D680583"/>
    <w:rsid w:val="0EC713D0"/>
    <w:rsid w:val="16566D64"/>
    <w:rsid w:val="17C874DE"/>
    <w:rsid w:val="1A3567DA"/>
    <w:rsid w:val="1AC4415D"/>
    <w:rsid w:val="1B2F6020"/>
    <w:rsid w:val="1E2845EF"/>
    <w:rsid w:val="1EED2473"/>
    <w:rsid w:val="20330222"/>
    <w:rsid w:val="22AA6AE0"/>
    <w:rsid w:val="27731C07"/>
    <w:rsid w:val="27B2615B"/>
    <w:rsid w:val="2A064F32"/>
    <w:rsid w:val="2A240E53"/>
    <w:rsid w:val="2AE8372E"/>
    <w:rsid w:val="2B5D7563"/>
    <w:rsid w:val="2BAF1071"/>
    <w:rsid w:val="2D750B47"/>
    <w:rsid w:val="2E207262"/>
    <w:rsid w:val="2EDC3B8C"/>
    <w:rsid w:val="30E40856"/>
    <w:rsid w:val="327C2702"/>
    <w:rsid w:val="328F6556"/>
    <w:rsid w:val="34C73B49"/>
    <w:rsid w:val="396A03B8"/>
    <w:rsid w:val="3B08682C"/>
    <w:rsid w:val="40566DF2"/>
    <w:rsid w:val="427244CA"/>
    <w:rsid w:val="47F739A9"/>
    <w:rsid w:val="4ADF3074"/>
    <w:rsid w:val="4D39723B"/>
    <w:rsid w:val="4E744BB6"/>
    <w:rsid w:val="4F5B2695"/>
    <w:rsid w:val="515F76AC"/>
    <w:rsid w:val="51C256CB"/>
    <w:rsid w:val="535B14FF"/>
    <w:rsid w:val="5453091E"/>
    <w:rsid w:val="55214FEC"/>
    <w:rsid w:val="57D21239"/>
    <w:rsid w:val="591659D2"/>
    <w:rsid w:val="5A1B6C85"/>
    <w:rsid w:val="5E106E7D"/>
    <w:rsid w:val="636847A4"/>
    <w:rsid w:val="63C44DA7"/>
    <w:rsid w:val="645D3BC2"/>
    <w:rsid w:val="67CB4AAD"/>
    <w:rsid w:val="68F55BA0"/>
    <w:rsid w:val="68FF0180"/>
    <w:rsid w:val="6BDFB661"/>
    <w:rsid w:val="6BEE0CE2"/>
    <w:rsid w:val="6C122AEC"/>
    <w:rsid w:val="6F01026C"/>
    <w:rsid w:val="6FB5DEC9"/>
    <w:rsid w:val="6FC55B78"/>
    <w:rsid w:val="712B40E1"/>
    <w:rsid w:val="74DF1C20"/>
    <w:rsid w:val="75815575"/>
    <w:rsid w:val="771B3C9C"/>
    <w:rsid w:val="7ABB9603"/>
    <w:rsid w:val="7BFA8E69"/>
    <w:rsid w:val="7C3F5DD5"/>
    <w:rsid w:val="7E250614"/>
    <w:rsid w:val="7E433694"/>
    <w:rsid w:val="7FE64C8A"/>
    <w:rsid w:val="BC9DE152"/>
    <w:rsid w:val="EAC9722E"/>
    <w:rsid w:val="FBFA1A34"/>
    <w:rsid w:val="FED942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rPr>
  </w:style>
  <w:style w:type="paragraph" w:styleId="2">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Indent"/>
    <w:basedOn w:val="1"/>
    <w:unhideWhenUsed/>
    <w:qFormat/>
    <w:uiPriority w:val="99"/>
    <w:pPr>
      <w:ind w:firstLine="640" w:firstLineChars="200"/>
    </w:pPr>
    <w:rPr>
      <w:rFonts w:ascii="仿宋_GB2312" w:eastAsia="仿宋_GB2312"/>
      <w:sz w:val="32"/>
    </w:rPr>
  </w:style>
  <w:style w:type="paragraph" w:styleId="4">
    <w:name w:val="Body Text First Indent 2"/>
    <w:basedOn w:val="3"/>
    <w:unhideWhenUsed/>
    <w:qFormat/>
    <w:uiPriority w:val="99"/>
    <w:pPr>
      <w:ind w:firstLine="420" w:firstLineChars="200"/>
    </w:p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Office_11.8.2.1126_F1E327BC-269C-435d-A152-05C5408002CA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2016-10-15T02:16:00Z</dcterms:created>
  <dc:creator>李宗</dc:creator>
  <cp:lastModifiedBy>UOS</cp:lastModifiedBy>
  <cp:lastPrinted>2022-01-27T00:54:00Z</cp:lastPrinted>
  <dcterms:modified xsi:type="dcterms:W3CDTF">2025-10-21T17:14:38Z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2052-11.8.2.1126</vt:lpwstr>
  </property>
  <property fmtid="{D5CDD505-2E9C-101B-9397-08002B2CF9AE}" pid="3" name="ICV">
    <vt:lpwstr>9E9CA18156AF4A5A831226A03867C275</vt:lpwstr>
  </property>
</Properties>
</file>