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不符合规定项目的小知识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一、水分系指药品中的含水量。水分偏高通常与工艺、包装不当以及储运环境等因素有关。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</w:t>
      </w:r>
      <w:r>
        <w:rPr>
          <w:rFonts w:ascii="Times New Roman" w:hAnsi="Times New Roman" w:eastAsia="仿宋_GB2312"/>
          <w:sz w:val="32"/>
          <w:szCs w:val="32"/>
        </w:rPr>
        <w:t>装量</w:t>
      </w:r>
      <w:r>
        <w:rPr>
          <w:rFonts w:hint="eastAsia" w:ascii="Times New Roman" w:hAnsi="Times New Roman" w:eastAsia="仿宋_GB2312"/>
          <w:sz w:val="32"/>
          <w:szCs w:val="32"/>
        </w:rPr>
        <w:t>差异</w:t>
      </w:r>
      <w:r>
        <w:rPr>
          <w:rFonts w:ascii="Times New Roman" w:hAnsi="Times New Roman" w:eastAsia="仿宋_GB2312"/>
          <w:sz w:val="32"/>
          <w:szCs w:val="32"/>
        </w:rPr>
        <w:t>系反映药品的均匀性检测指标</w:t>
      </w:r>
      <w:r>
        <w:rPr>
          <w:rFonts w:hint="eastAsia" w:ascii="Times New Roman" w:hAnsi="Times New Roman" w:eastAsia="仿宋_GB2312"/>
          <w:sz w:val="32"/>
          <w:szCs w:val="32"/>
        </w:rPr>
        <w:t>，是保证准确给药的重要参数之一。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三、性状记载药品的外观、质地、断面、臭、味、溶解度、以及物理常数等。中药饮片性状项不符合规定，可能涉及药材种属偏差、炮制工艺有瑕疵、储存不当等情形。</w:t>
      </w:r>
    </w:p>
    <w:p>
      <w:pPr>
        <w:keepNext w:val="0"/>
        <w:keepLines w:val="0"/>
        <w:pageBreakBefore w:val="0"/>
        <w:tabs>
          <w:tab w:val="left" w:pos="1302"/>
        </w:tabs>
        <w:kinsoku/>
        <w:wordWrap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>四、</w:t>
      </w:r>
      <w:r>
        <w:rPr>
          <w:rFonts w:ascii="Times New Roman" w:hAnsi="Times New Roman" w:eastAsia="仿宋_GB2312"/>
          <w:sz w:val="32"/>
          <w:szCs w:val="32"/>
        </w:rPr>
        <w:t>含量测定系指用规定的试验方法测定原料及制剂中有效成分的含量，一般可采用化学、仪器或生物测定方法。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、溶出度系指活性药物从片剂、胶囊剂或颗粒剂等普通制剂在规定条件下溶出的速率和程度。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hint="eastAsia" w:ascii="Times New Roman" w:hAnsi="Times New Roman" w:eastAsia="仿宋_GB2312"/>
          <w:sz w:val="32"/>
          <w:szCs w:val="32"/>
        </w:rPr>
        <w:t xml:space="preserve">    六</w:t>
      </w:r>
      <w:r>
        <w:rPr>
          <w:rFonts w:ascii="Times New Roman" w:hAnsi="Times New Roman" w:eastAsia="仿宋_GB2312"/>
          <w:sz w:val="32"/>
          <w:szCs w:val="32"/>
        </w:rPr>
        <w:t>、耐酸力系指肠溶胶囊在溶出释放过程中，该制剂在胃酸中的溶出速率和程度。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hint="eastAsia" w:ascii="Times New Roman" w:hAnsi="Times New Roman" w:eastAsia="仿宋_GB2312"/>
          <w:sz w:val="32"/>
          <w:szCs w:val="32"/>
        </w:rPr>
        <w:t xml:space="preserve">    七</w:t>
      </w:r>
      <w:r>
        <w:rPr>
          <w:rFonts w:ascii="Times New Roman" w:hAnsi="Times New Roman" w:eastAsia="仿宋_GB2312"/>
          <w:sz w:val="32"/>
          <w:szCs w:val="32"/>
        </w:rPr>
        <w:t>、渗透压摩尔浓度系指注射剂、眼用液体制剂等药物制剂处方中添加了渗透压调节剂，不符合规定会影响临床的治疗效果。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hint="eastAsia" w:ascii="Times New Roman" w:hAnsi="Times New Roman" w:eastAsia="仿宋_GB2312"/>
          <w:sz w:val="32"/>
          <w:szCs w:val="32"/>
        </w:rPr>
        <w:t xml:space="preserve">    八</w:t>
      </w:r>
      <w:r>
        <w:rPr>
          <w:rFonts w:ascii="Times New Roman" w:hAnsi="Times New Roman" w:eastAsia="仿宋_GB2312"/>
          <w:sz w:val="32"/>
          <w:szCs w:val="32"/>
        </w:rPr>
        <w:t>、可见异物系指存在于注射剂、眼用液体制剂和无菌原料药中，在规定条件下目视可以观测到的不溶性物质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7FCE"/>
    <w:rsid w:val="46B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2021-12-20T01:30:00Z</dcterms:created>
  <dc:creator>李冬</dc:creator>
  <cp:lastModifiedBy>李冬</cp:lastModifiedBy>
  <dcterms:modified xsi:type="dcterms:W3CDTF">2021-12-20T01:31:15Z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9ADE04EF7A9B42E69844C8301CB9C629</vt:lpwstr>
  </property>
</Properties>
</file>