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不符合规定项目的小知识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overflowPunct w:val="0"/>
        <w:spacing w:line="600" w:lineRule="exact"/>
        <w:ind w:left="-3" w:leftChars="0" w:firstLine="619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含量测定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含量测定系指用规定的试验方法测定原料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及制剂中有效成分的含量，一般可采用化学、仪器或生物测定方法。</w:t>
      </w:r>
    </w:p>
    <w:p>
      <w:pPr>
        <w:numPr>
          <w:ilvl w:val="0"/>
          <w:numId w:val="0"/>
        </w:numPr>
        <w:tabs>
          <w:tab w:val="left" w:pos="1302"/>
        </w:tabs>
        <w:spacing w:line="560" w:lineRule="exact"/>
        <w:ind w:left="-3" w:leftChars="0" w:firstLine="619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性状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项下记载外观、臭、味、溶解度以及物理常数等，在一定程度上反映药品的质量特性。中药饮片性状项不符合规定，可能涉及药材种属偏差、炮制工艺有瑕疵、储存不当等情形。</w:t>
      </w:r>
    </w:p>
    <w:p>
      <w:pPr>
        <w:numPr>
          <w:ilvl w:val="0"/>
          <w:numId w:val="0"/>
        </w:numPr>
        <w:overflowPunct w:val="0"/>
        <w:spacing w:line="600" w:lineRule="exact"/>
        <w:ind w:left="-3" w:leftChars="0" w:firstLine="617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pH值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是氢离子浓度指数，作为酸碱程度的衡量指标。。</w:t>
      </w:r>
    </w:p>
    <w:p>
      <w:pPr>
        <w:numPr>
          <w:ilvl w:val="0"/>
          <w:numId w:val="0"/>
        </w:numPr>
        <w:tabs>
          <w:tab w:val="left" w:pos="1302"/>
        </w:tabs>
        <w:spacing w:line="560" w:lineRule="exact"/>
        <w:ind w:left="-3" w:leftChars="0" w:firstLine="619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溶出度：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指药物从片剂等固体制剂在规定溶剂中溶出的速度与程度，是评价药物制剂质量的关键指标，尤其适用于难溶性药物的有效性评价。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YzE2N2Y2ZDJkNjkzZjY2MmIwODAwMDg1YzYifQ=="/>
  </w:docVars>
  <w:rsids>
    <w:rsidRoot w:val="6BC270C2"/>
    <w:rsid w:val="6BC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2025-12-22T06:46:00Z</dcterms:created>
  <dc:creator>傅秀麟</dc:creator>
  <cp:lastModifiedBy>傅秀麟</cp:lastModifiedBy>
  <dcterms:modified xsi:type="dcterms:W3CDTF">2025-12-22T06:47:35Z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6EF7F5F850F8439DA3261D7A1E42AEE0_11</vt:lpwstr>
  </property>
</Properties>
</file>